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8</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ascii="黑体" w:hAnsi="黑体" w:eastAsia="黑体"/>
          <w:color w:val="auto"/>
          <w:sz w:val="24"/>
          <w:szCs w:val="24"/>
          <w:highlight w:val="gree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2023年</w:t>
      </w:r>
      <w:r>
        <w:rPr>
          <w:rFonts w:hint="eastAsia" w:ascii="黑体" w:hAnsi="黑体" w:eastAsia="黑体"/>
          <w:color w:val="auto"/>
          <w:sz w:val="24"/>
          <w:szCs w:val="24"/>
          <w:highlight w:val="none"/>
          <w:lang w:val="en-US" w:eastAsia="zh-CN"/>
        </w:rPr>
        <w:t>6</w:t>
      </w:r>
      <w:r>
        <w:rPr>
          <w:rFonts w:hint="eastAsia" w:ascii="黑体" w:hAnsi="黑体" w:eastAsia="黑体"/>
          <w:color w:val="auto"/>
          <w:sz w:val="24"/>
          <w:szCs w:val="24"/>
          <w:highlight w:val="none"/>
        </w:rPr>
        <w:t>月</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日</w:t>
      </w:r>
    </w:p>
    <w:p>
      <w:pPr>
        <w:jc w:val="both"/>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一、习近平：发挥审计在推进党的自我革命中的独特作用 进一步推进新时代审计工作高质量发</w:t>
      </w:r>
      <w:r>
        <w:rPr>
          <w:rFonts w:hint="eastAsia" w:ascii="楷体_GB2312" w:hAnsi="黑体" w:eastAsia="楷体_GB2312"/>
          <w:color w:val="auto"/>
          <w:sz w:val="32"/>
          <w:szCs w:val="32"/>
          <w:lang w:eastAsia="zh-CN"/>
        </w:rPr>
        <w:t>展</w:t>
      </w:r>
      <w:r>
        <w:rPr>
          <w:rFonts w:hint="eastAsia" w:ascii="楷体_GB2312" w:hAnsi="黑体" w:eastAsia="楷体_GB2312"/>
          <w:color w:val="auto"/>
          <w:sz w:val="32"/>
          <w:szCs w:val="32"/>
        </w:rPr>
        <w:t>....................1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、习近平：加快建设教育强国 为中华民族伟大复兴提供有力支撑..............................................</w:t>
      </w:r>
      <w:r>
        <w:rPr>
          <w:rFonts w:hint="eastAsia" w:ascii="楷体_GB2312" w:hAnsi="黑体" w:eastAsia="楷体_GB2312"/>
          <w:color w:val="auto"/>
          <w:sz w:val="32"/>
          <w:szCs w:val="32"/>
          <w:lang w:val="en-US" w:eastAsia="zh-CN"/>
        </w:rPr>
        <w:t>4</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rPr>
        <w:t>三、习近平：加快推进国家安全体系和能力现代化 以新安全格局保障新发展格局..................................</w:t>
      </w:r>
      <w:r>
        <w:rPr>
          <w:rFonts w:hint="eastAsia" w:ascii="楷体_GB2312" w:hAnsi="黑体" w:eastAsia="楷体_GB2312"/>
          <w:color w:val="auto"/>
          <w:sz w:val="32"/>
          <w:szCs w:val="32"/>
          <w:lang w:val="en-US" w:eastAsia="zh-CN"/>
        </w:rPr>
        <w:t>9</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四、习近平：中国式现代化是中国共产党领导的社会主义现代化</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11</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eastAsia="zh-CN"/>
        </w:rPr>
        <w:t>五、习近平：担负起新的文化使命 努力建设中华民族现代文明</w:t>
      </w:r>
      <w:r>
        <w:rPr>
          <w:rFonts w:hint="eastAsia" w:ascii="楷体_GB2312" w:hAnsi="黑体" w:eastAsia="楷体_GB2312"/>
          <w:color w:val="auto"/>
          <w:sz w:val="32"/>
          <w:szCs w:val="32"/>
        </w:rPr>
        <w:t>......</w:t>
      </w:r>
      <w:bookmarkStart w:id="0" w:name="_GoBack"/>
      <w:bookmarkEnd w:id="0"/>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习近平主持召开二十届中央审计委员会第一次会议强调 发挥审计在推进党的自我革命中的独特作用 进一步推进新时代审计工作高质量发展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中央审计委员会主任习近平5月23日下午主持召开二十届中央审计委员会第一次会议。习近平在会上发表重要讲话强调，在强国建设、民族复兴新征程上，审计担负重要使命，要立足经济监督定位，聚焦主责主业，更好发挥审计在推进党的自我革命中的独特作用。做好新一届中央审计委员会工作，要坚持以新时代中国特色社会主义思想为指导，深入学习贯彻党的二十大精神，完整、准确、全面贯彻新发展理念，聚焦全局性、长远性、战略性问题，加强审计领域战略谋划与顶层设计，进一步推进新时代审计工作高质量发展，以有力有效的审计监督服务保障党和国家工作大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中共中央政治局常委、国务院总理、中央审计委员会副主任李强，中共中央政治局常委、中央纪律检查委员会书记、中央审计委员会副主任李希出席会议。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会议听取了中央审计委员会办公室关于2022年度中央预算执行和其他财政支出情况的审计报告的汇报，以及关于推进新时代审计工作高质量发展的意见的汇报等。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审计是党和国家监督体系的重要组成部分，是推动国家治理体系和治理能力现代化的重要力量。党的十九大以来，在党中央集中统一领导下，中央审计委员会推动审计体制实现系统性、整体性重构，走出了一条契合中国国情的审计新路子，审计工作取得历史性成就、发生历史性变革。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做好新时代新征程审计工作，总的要求是在构建集中统一、全面覆盖、权威高效的审计监督体系，更好发挥审计监督作用上聚焦发力。要如臂使指，增强审计的政治属性和政治功能，把党中央部署把握准、领会透、落实好。要如影随形，对所有管理使用公共资金、国有资产、国有资源的地方、部门和单位的审计监督权无一遗漏、无一例外，形成常态化、动态化震慑。要如雷贯耳，坚持依法审计，做实研究型审计，发扬斗争精神，增强斗争本领，打造经济监督的“特种部队”；做好与其他监督的贯通协同，形成监督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要求，要扎实做好今年的审计工作，突出重大问题加大审计力度，促进把党中央决策部署贯彻好、落实好。聚焦高质量发展首要任务，加大对重大项目、重大战略、重大举措落实落地情况的监督力度。聚焦稳增长稳就业稳物价，继续盯紧看好宝贵的财政资金，加大对稳经济一揽子政策措施落实情况的审计力度。聚焦实体经济发展，加大对金融支持实体经济、助企纾困政策落实情况的审计力度，推动落实好“两个毫不动摇”。聚焦推动兜牢民生底线，紧盯人民群众最关心最直接最现实的利益问题，推动惠民富民政策落实。聚焦统筹发展和安全，密切关注地方政府债务、金融、房地产、粮食、能源等重点领域，牢牢守住不发生系统性风险底线。聚焦权力规范运行，充分发挥审计在反腐治乱方面的重要作用，坚决查处政治问题和经济问题交织的腐败，坚决查处权力集中、资金密集、资源富集领域的腐败，坚决查处群众身边的“蝇贪蚁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审计整改“下半篇文章”与审计揭示问题“上半篇文章”同样重要，必须一体推进。要把督促审计整改作为日常监督的重要抓手，将审计结果作为干部考核、任免、奖惩的重要参考。对整改不力、敷衍整改、虚假整改的，要严肃问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今年是审计机关成立40周年。党中央对审计寄予厚望，要传承审计光荣传统和优良作风，塑造职业精神，提高专业能力。要全面从严治党治审，深入开展主题教育和审计队伍教育整顿，建设忠诚干净担当的高素质专业化审计干部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会议要求，各级党委要切实扛起政治责任，提高对审计工作的领导力。主要负责同志要亲自抓、亲自管，充分发挥审计委员会牵头抓总、统筹协调作用。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中央审计委员会委员出席会议，中央和国家机关有关部门负责同志列席会议。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习近平在中共中央政治局第五次集体学习时强调 加快建设教育强国 为中华民族伟大复兴提供有力支撑</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清华大学党委书记、中国科学院院士邱勇就这个问题进行讲解，提出工作建议。中央政治局的同志认真听取了讲解，并进行了讨论。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习近平主持召开二十届中央国家安全委员会第一次会议强调 加快推进国家安全体系和能力现代化 以新安全格局保障新发展格局</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共中央总书记、国家主席、中央军委主席、中央国家安全委员会主席习近平5月30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中共中央政治局常委、中央国家安全委员会副主席李强、赵乐际、蔡奇出席会议。</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会议指出，中央国家安全委员会坚持发扬斗争精神，坚持并不断发展总体国家安全观，推动国家安全领导体制和法治体系、战略体系、政策体系不断完善，实现国家安全工作协调机制有效运转、地方党委国家安全系统全国基本覆盖，坚决捍卫了国家主权、安全、发展利益，国家安全得到全面加强。</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会议强调，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会议指出，要以新安全格局保障新发展格局，主动塑造于我有利的外部安全环境，更好维护开放安全，推动发展和安全深度融合。要推进维护和塑造国家安全手段方式变革，创新理论引领，完善力量布局，推进科技赋能。要完善应对国家安全风险综合体，实时监测、及时预警，打好组合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会议强调，国家安全工作要贯彻落实党的二十大决策部署，切实做好维护政治安全、提升网络数据人工智能安全治理水平、加快建设国家安全风险监测预警体系、推进国家安全法治建设、加强国家安全教育等方面工作。</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会议审议通过了《加快建设国家安全风险监测预警体系的意见》、《关于全面加强国家安全教育的意见》等文件。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中央国家安全委员会常务委员、委员出席会议，中央和国家机关有关部门负责同志列席会议。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中国式现代化是中国共产党领导的社会主义现代化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二十大报告明确指出：“中国式现代化，是中国共产党领导的社会主义现代化。”这是对中国式现代化定性的话，是管总、管根本的。为什么要强调党在中国式现代化建设中的领导地位？这是因为，党的领导直接关系中国式现代化的根本方向、前途命运、最终成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领导决定中国式现代化的根本性质。党的性质宗旨、初心使命、信仰信念、政策主张决定了中国式现代化是社会主义现代化，而不是别的什么现代化。我们党始终高举中国特色社会主义伟大旗帜，既坚持科学社会主义基本原则，又不断赋予其鲜明的中国特色和时代内涵，坚定不移地走中国特色社会主义道路，确保中国式现代化在正确的轨道上顺利推进。我们党坚持把马克思主义作为根本指导思想，不断深化对共产党执政规律、社会主义建设规律、人类社会发展规律的认识，不断开辟马克思主义中国化时代化新境界，为中国式现代化提供科学指引。我们党坚持和完善中国特色社会主义制度，不断推进国家治理体系和治理能力现代化，形成包括中国特色社会主义根本制度、基本制度、重要制度等在内的一整套制度体系，为中国式现代化稳步前行提供坚强制度保证。我们党坚持和发展中国特色社会主义文化，激发全民族文化创新创造活力，为中国式现代化提供强大精神力量。可以说，只有毫不动摇坚持党的领导，中国式现代化才能前景光明、繁荣兴盛；否则，中国式现代化就会偏离航向、丧失灵魂，甚至犯颠覆性错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领导确保中国式现代化锚定奋斗目标行稳致远。我们党始终坚守初心使命，矢志为中国人民谋幸福、为中华民族谋复兴，坚持把远大理想和阶段性目标统一起来，一旦确定目标，就咬定青山不放松，接续奋斗、艰苦奋斗、不懈奋斗。改革开放以来，我们建设社会主义现代化国家的奋斗目标都是循序渐进、一以贯之的，并随着实践的发展而不断丰富完善。在总结改革开放和新时代实践成就和经验基础上，党的二十大更加清晰擘画了到2035年我国发展的目标要求，科学描绘了全面建成社会主义现代化强国、全面推进中华民族伟大复兴的宏伟蓝图。从这些历史进程中，我们可以清楚地看到，建设社会主义现代化国家是我们党一以贯之的奋斗目标，一代一代地接力推进，并不断取得举世瞩目、彪炳史册的辉煌业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领导激发建设中国式现代化的强劲动力。改革开放是决定当代中国命运的关键一招，也是决定中国式现代化成败的关键一招。改革开放以后，我们党以伟大历史主动精神不断变革生产关系和生产力之间、上层建筑和经济基础之间不相适应的方面，不断推进各领域体制改革，形成和发展符合当代中国国情、充满生机活力的体制机制，让一切劳动、知识、技术、管理和资本的活力竞相迸发，让一切创造社会财富的源泉充分涌流。党的十八大以来，我们党以巨大的政治勇气全面深化改革，突出问题导向，敢于突进深水区，敢于啃硬骨头，敢于涉险滩，敢于面对新矛盾新挑战，冲破思想观念束缚，突破利益固化藩篱，坚决破除各方面体制机制弊端，改革由局部探索、破冰突围到系统集成、全面深化，许多领域实现历史性变革、系统性重塑、整体性重构，为中国式现代化注入不竭动力源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领导凝聚建设中国式现代化的磅礴力量。我们党深刻认识到中国式现代化是亿万人民自己的事业，人民是中国式现代化的主体，必须紧紧依靠人民，尊重人民创造精神，汇集全体人民的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急难愁盼问题，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美好愿景激励人、鼓舞人、感召人，有效促进政党关系、民族关系、宗教关系、阶层关系、海内外同胞关系和谐，促进海内外中华儿女团结奋斗，凝聚起全面建设社会主义现代化国家的磅礴伟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这是习近平总书记2023年2月7日在新进中央委员会的委员、候补委员和省部级主要领导干部学习贯彻习近平新时代中国特色社会主义思想和党的二十大精神研讨班上讲话的一部分。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习近平在文化传承发展座谈会上强调 担负起新的文化使命 努力建设中华民族现代文明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6月2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为开好这次座谈会，习近平先后考察了中国国家版本馆和中国历史研究院。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中共中央政治局常委、中央书记处书记蔡奇陪同考察并主持座谈会。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日下午，习近平乘车来到位于北京市昌平区燕山脚下的中国国家版本馆中央总馆。中国国家版本馆主要承担国家版本资源规划协调、普查征集、典藏展示、研究交流和宣传使用职责，建有中央总馆和西安、杭州、广州分馆。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李书磊、铁凝、谌贻琴、秦刚、姜信治等参加上述有关活动。中央宣传思想文化工作领导小组成员、中央和国家机关有关部门负责同志、中央宣传文化系统各单位负责同志，有关专家学者代表等参加座谈会。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BA6325"/>
    <w:rsid w:val="0E1A44DD"/>
    <w:rsid w:val="0F5371D2"/>
    <w:rsid w:val="105B6F8A"/>
    <w:rsid w:val="15F372C8"/>
    <w:rsid w:val="1C6D40EC"/>
    <w:rsid w:val="1C9110EF"/>
    <w:rsid w:val="1EA00A73"/>
    <w:rsid w:val="2C390BAE"/>
    <w:rsid w:val="2FC306DF"/>
    <w:rsid w:val="32C37A45"/>
    <w:rsid w:val="33B414CA"/>
    <w:rsid w:val="398057DC"/>
    <w:rsid w:val="468B6F9A"/>
    <w:rsid w:val="480224E2"/>
    <w:rsid w:val="4CAB12ED"/>
    <w:rsid w:val="4E7B0C6B"/>
    <w:rsid w:val="52E6027B"/>
    <w:rsid w:val="5B9A70B8"/>
    <w:rsid w:val="63C34609"/>
    <w:rsid w:val="6A88226F"/>
    <w:rsid w:val="70A92E7E"/>
    <w:rsid w:val="77FD75A4"/>
    <w:rsid w:val="7A6C349F"/>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11258</Words>
  <Characters>11393</Characters>
  <Lines>83</Lines>
  <Paragraphs>23</Paragraphs>
  <TotalTime>5</TotalTime>
  <ScaleCrop>false</ScaleCrop>
  <LinksUpToDate>false</LinksUpToDate>
  <CharactersWithSpaces>11488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2023-06-26T08:49:07Z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e4657ca9acff4ad4910599ea83d52e99</vt:lpwstr>
  </property>
</Properties>
</file>