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01BAA">
      <w:pPr>
        <w:jc w:val="center"/>
        <w:rPr>
          <w:rFonts w:ascii="黑体" w:hAnsi="黑体" w:eastAsia="黑体"/>
          <w:color w:val="auto"/>
          <w:sz w:val="52"/>
          <w:szCs w:val="52"/>
        </w:rPr>
      </w:pPr>
      <w:r>
        <w:rPr>
          <w:rFonts w:hint="eastAsia" w:ascii="黑体" w:hAnsi="黑体" w:eastAsia="黑体"/>
          <w:color w:val="auto"/>
          <w:sz w:val="52"/>
          <w:szCs w:val="52"/>
        </w:rPr>
        <w:t>教职工理论学习参考资料</w:t>
      </w:r>
    </w:p>
    <w:p w14:paraId="486AD58E">
      <w:pPr>
        <w:jc w:val="center"/>
        <w:rPr>
          <w:rFonts w:hint="eastAsia" w:ascii="黑体" w:hAnsi="黑体" w:eastAsia="黑体"/>
          <w:color w:val="auto"/>
          <w:sz w:val="24"/>
          <w:szCs w:val="24"/>
        </w:rPr>
      </w:pPr>
      <w:r>
        <w:rPr>
          <w:rFonts w:hint="eastAsia" w:ascii="黑体" w:hAnsi="黑体" w:eastAsia="黑体"/>
          <w:color w:val="auto"/>
          <w:sz w:val="24"/>
          <w:szCs w:val="24"/>
        </w:rPr>
        <w:t>（202</w:t>
      </w:r>
      <w:r>
        <w:rPr>
          <w:rFonts w:hint="eastAsia" w:ascii="黑体" w:hAnsi="黑体" w:eastAsia="黑体"/>
          <w:color w:val="auto"/>
          <w:sz w:val="24"/>
          <w:szCs w:val="24"/>
          <w:lang w:val="en-US" w:eastAsia="zh-CN"/>
        </w:rPr>
        <w:t>6</w:t>
      </w:r>
      <w:r>
        <w:rPr>
          <w:rFonts w:hint="eastAsia" w:ascii="黑体" w:hAnsi="黑体" w:eastAsia="黑体"/>
          <w:color w:val="auto"/>
          <w:sz w:val="24"/>
          <w:szCs w:val="24"/>
        </w:rPr>
        <w:t>第</w:t>
      </w:r>
      <w:r>
        <w:rPr>
          <w:rFonts w:hint="eastAsia" w:ascii="黑体" w:hAnsi="黑体" w:eastAsia="黑体"/>
          <w:color w:val="auto"/>
          <w:sz w:val="24"/>
          <w:szCs w:val="24"/>
          <w:lang w:val="en-US" w:eastAsia="zh-CN"/>
        </w:rPr>
        <w:t>8</w:t>
      </w:r>
      <w:r>
        <w:rPr>
          <w:rFonts w:hint="eastAsia" w:ascii="黑体" w:hAnsi="黑体" w:eastAsia="黑体"/>
          <w:color w:val="auto"/>
          <w:sz w:val="24"/>
          <w:szCs w:val="24"/>
        </w:rPr>
        <w:t>期）</w:t>
      </w:r>
    </w:p>
    <w:p w14:paraId="2C6F1265">
      <w:pPr>
        <w:ind w:firstLine="240" w:firstLineChars="100"/>
        <w:jc w:val="left"/>
        <w:rPr>
          <w:rFonts w:hint="eastAsia" w:ascii="黑体" w:hAnsi="黑体" w:eastAsia="黑体"/>
          <w:color w:val="auto"/>
          <w:sz w:val="24"/>
          <w:szCs w:val="24"/>
          <w:highlight w:val="yellow"/>
          <w:lang w:val="en-US" w:eastAsia="zh-CN"/>
        </w:rPr>
      </w:pPr>
      <w:r>
        <w:rPr>
          <w:rFonts w:hint="eastAsia" w:ascii="黑体" w:hAnsi="黑体" w:eastAsia="黑体"/>
          <w:color w:val="auto"/>
          <w:sz w:val="24"/>
          <w:szCs w:val="24"/>
        </w:rPr>
        <w:t>泰山学院党委宣传部编</w:t>
      </w:r>
      <w:r>
        <w:rPr>
          <w:rFonts w:hint="eastAsia" w:ascii="黑体" w:hAnsi="黑体" w:eastAsia="黑体"/>
          <w:color w:val="auto"/>
          <w:sz w:val="24"/>
          <w:szCs w:val="24"/>
          <w:lang w:val="en-US" w:eastAsia="zh-CN"/>
        </w:rPr>
        <w:t xml:space="preserve">                                </w:t>
      </w:r>
      <w:r>
        <w:rPr>
          <w:rFonts w:hint="eastAsia" w:ascii="黑体" w:hAnsi="黑体" w:eastAsia="黑体"/>
          <w:color w:val="auto"/>
          <w:sz w:val="24"/>
          <w:szCs w:val="24"/>
        </w:rPr>
        <w:t>202</w:t>
      </w:r>
      <w:r>
        <w:rPr>
          <w:rFonts w:hint="eastAsia" w:ascii="黑体" w:hAnsi="黑体" w:eastAsia="黑体"/>
          <w:color w:val="auto"/>
          <w:sz w:val="24"/>
          <w:szCs w:val="24"/>
          <w:lang w:val="en-US" w:eastAsia="zh-CN"/>
        </w:rPr>
        <w:t>6年</w:t>
      </w:r>
      <w:r>
        <w:rPr>
          <w:rFonts w:hint="eastAsia" w:ascii="黑体" w:hAnsi="黑体" w:eastAsia="黑体"/>
          <w:color w:val="auto"/>
          <w:sz w:val="24"/>
          <w:szCs w:val="24"/>
          <w:highlight w:val="none"/>
          <w:lang w:val="en-US" w:eastAsia="zh-CN"/>
        </w:rPr>
        <w:t>8月20日</w:t>
      </w:r>
    </w:p>
    <w:p w14:paraId="624DAB89">
      <w:pPr>
        <w:ind w:firstLine="240" w:firstLineChars="100"/>
        <w:jc w:val="left"/>
        <w:rPr>
          <w:rFonts w:hint="eastAsia" w:ascii="黑体" w:hAnsi="黑体" w:eastAsia="黑体"/>
          <w:color w:val="auto"/>
          <w:sz w:val="24"/>
          <w:szCs w:val="24"/>
        </w:rPr>
      </w:pPr>
      <w:r>
        <w:rPr>
          <w:rFonts w:hint="eastAsia" w:ascii="黑体" w:hAnsi="黑体" w:eastAsia="黑体"/>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146685</wp:posOffset>
                </wp:positionV>
                <wp:extent cx="5534025" cy="0"/>
                <wp:effectExtent l="0" t="4445" r="0" b="5080"/>
                <wp:wrapNone/>
                <wp:docPr id="1" name="1027"/>
                <wp:cNvGraphicFramePr/>
                <a:graphic xmlns:a="http://schemas.openxmlformats.org/drawingml/2006/main">
                  <a:graphicData uri="http://schemas.microsoft.com/office/word/2010/wordprocessingShape">
                    <wps:wsp>
                      <wps:cNvCnPr/>
                      <wps:spPr>
                        <a:xfrm>
                          <a:off x="0" y="0"/>
                          <a:ext cx="55340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1027" o:spid="_x0000_s1026" o:spt="32" type="#_x0000_t32" style="position:absolute;left:0pt;margin-left:-4.5pt;margin-top:11.55pt;height:0pt;width:435.75pt;z-index:251659264;mso-width-relative:page;mso-height-relative:page;" filled="f" stroked="t" coordsize="21600,21600" o:gfxdata="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5gbN1wAAAAgBAAAPAAAAAAAA&#10;AAEAIAAAACIAAABkcnMvZG93bnJldi54bWxQSwECFAAUAAAACACHTuJAa5rjItoBAADZAwAADgAA&#10;AAAAAAABACAAAAAmAQAAZHJzL2Uyb0RvYy54bWxQSwUGAAAAAAYABgBZAQAAcgUAAAAA&#10;">
                <v:fill on="f" focussize="0,0"/>
                <v:stroke color="#000000" joinstyle="round"/>
                <v:imagedata o:title=""/>
                <o:lock v:ext="edit" aspectratio="f"/>
              </v:shape>
            </w:pict>
          </mc:Fallback>
        </mc:AlternateContent>
      </w:r>
    </w:p>
    <w:p w14:paraId="076936BF">
      <w:pPr>
        <w:numPr>
          <w:ilvl w:val="0"/>
          <w:numId w:val="1"/>
        </w:numPr>
        <w:rPr>
          <w:rFonts w:hint="eastAsia" w:ascii="黑体" w:hAnsi="黑体" w:eastAsia="黑体"/>
          <w:color w:val="auto"/>
          <w:sz w:val="30"/>
          <w:szCs w:val="30"/>
        </w:rPr>
      </w:pPr>
      <w:r>
        <w:rPr>
          <w:rFonts w:hint="eastAsia" w:ascii="黑体" w:hAnsi="黑体" w:eastAsia="黑体"/>
          <w:color w:val="auto"/>
          <w:sz w:val="30"/>
          <w:szCs w:val="30"/>
        </w:rPr>
        <w:t>学习内容</w:t>
      </w:r>
    </w:p>
    <w:p w14:paraId="4156BC11">
      <w:pPr>
        <w:widowControl w:val="0"/>
        <w:numPr>
          <w:ilvl w:val="0"/>
          <w:numId w:val="0"/>
        </w:numPr>
        <w:jc w:val="both"/>
        <w:rPr>
          <w:rFonts w:hint="eastAsia" w:ascii="黑体" w:hAnsi="黑体" w:eastAsia="黑体"/>
          <w:color w:val="auto"/>
          <w:sz w:val="30"/>
          <w:szCs w:val="30"/>
        </w:rPr>
      </w:pPr>
    </w:p>
    <w:p w14:paraId="7B54C994">
      <w:pPr>
        <w:widowControl w:val="0"/>
        <w:numPr>
          <w:ilvl w:val="0"/>
          <w:numId w:val="0"/>
        </w:numPr>
        <w:jc w:val="both"/>
        <w:rPr>
          <w:rFonts w:hint="eastAsia" w:ascii="黑体" w:hAnsi="黑体" w:eastAsia="黑体"/>
          <w:color w:val="auto"/>
          <w:sz w:val="30"/>
          <w:szCs w:val="30"/>
        </w:rPr>
      </w:pPr>
    </w:p>
    <w:p w14:paraId="15591796">
      <w:pPr>
        <w:widowControl w:val="0"/>
        <w:numPr>
          <w:ilvl w:val="0"/>
          <w:numId w:val="0"/>
        </w:numPr>
        <w:jc w:val="both"/>
        <w:rPr>
          <w:rFonts w:hint="eastAsia" w:ascii="黑体" w:hAnsi="黑体" w:eastAsia="黑体"/>
          <w:color w:val="auto"/>
          <w:sz w:val="30"/>
          <w:szCs w:val="30"/>
        </w:rPr>
      </w:pPr>
    </w:p>
    <w:p w14:paraId="2C6DD663">
      <w:pPr>
        <w:widowControl w:val="0"/>
        <w:numPr>
          <w:ilvl w:val="0"/>
          <w:numId w:val="0"/>
        </w:numPr>
        <w:jc w:val="both"/>
        <w:rPr>
          <w:rFonts w:hint="eastAsia" w:ascii="黑体" w:hAnsi="黑体" w:eastAsia="黑体"/>
          <w:color w:val="auto"/>
          <w:sz w:val="30"/>
          <w:szCs w:val="30"/>
        </w:rPr>
      </w:pPr>
    </w:p>
    <w:p w14:paraId="2B082C9D">
      <w:pPr>
        <w:numPr>
          <w:ilvl w:val="0"/>
          <w:numId w:val="0"/>
        </w:numPr>
        <w:ind w:leftChars="0"/>
        <w:rPr>
          <w:rFonts w:hint="eastAsia" w:ascii="黑体" w:hAnsi="黑体" w:eastAsia="黑体"/>
          <w:color w:val="auto"/>
          <w:sz w:val="30"/>
          <w:szCs w:val="30"/>
        </w:rPr>
      </w:pPr>
    </w:p>
    <w:p w14:paraId="1F6B47DA">
      <w:pPr>
        <w:numPr>
          <w:ilvl w:val="0"/>
          <w:numId w:val="2"/>
        </w:numPr>
        <w:spacing w:line="640" w:lineRule="exact"/>
        <w:ind w:left="640" w:hanging="640" w:hangingChars="200"/>
        <w:jc w:val="both"/>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就当前经济形势和下半年经济工作 中共中央召开党外人士座谈会 习近平主持并发表重要讲话.......</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....1</w:t>
      </w:r>
    </w:p>
    <w:p w14:paraId="621233FB">
      <w:pPr>
        <w:numPr>
          <w:ilvl w:val="0"/>
          <w:numId w:val="2"/>
        </w:numPr>
        <w:spacing w:line="640" w:lineRule="exact"/>
        <w:ind w:left="640" w:leftChars="0" w:hanging="640" w:hangingChars="200"/>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习近平：加快建设健康中国.......</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4</w:t>
      </w:r>
    </w:p>
    <w:p w14:paraId="6771C90C">
      <w:pPr>
        <w:numPr>
          <w:ilvl w:val="0"/>
          <w:numId w:val="2"/>
        </w:numPr>
        <w:spacing w:line="640" w:lineRule="exact"/>
        <w:ind w:left="640" w:leftChars="0" w:hanging="640" w:hangingChars="200"/>
        <w:rPr>
          <w:rFonts w:hint="default"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lang w:val="en-US" w:eastAsia="zh-CN"/>
        </w:rPr>
        <w:t>习近平：提高防灾减灾救灾能力</w:t>
      </w:r>
      <w:r>
        <w:rPr>
          <w:rFonts w:hint="eastAsia" w:ascii="楷体_GB2312" w:hAnsi="黑体" w:eastAsia="楷体_GB2312"/>
          <w:color w:val="auto"/>
          <w:sz w:val="32"/>
          <w:szCs w:val="32"/>
          <w:highlight w:val="none"/>
          <w:lang w:val="en-US" w:eastAsia="zh-CN"/>
        </w:rPr>
        <w:t>......................7</w:t>
      </w:r>
    </w:p>
    <w:p w14:paraId="5D42F7B3">
      <w:pPr>
        <w:numPr>
          <w:ilvl w:val="0"/>
          <w:numId w:val="2"/>
        </w:numPr>
        <w:spacing w:line="640" w:lineRule="exact"/>
        <w:ind w:left="640" w:leftChars="0" w:hanging="640" w:hangingChars="200"/>
        <w:jc w:val="both"/>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习近平：在纪念江泽民同志诞辰100周年大会上的讲话.11</w:t>
      </w:r>
    </w:p>
    <w:p w14:paraId="4880AF2D">
      <w:pPr>
        <w:numPr>
          <w:numId w:val="0"/>
        </w:numPr>
        <w:spacing w:line="640" w:lineRule="exact"/>
        <w:jc w:val="both"/>
        <w:rPr>
          <w:rFonts w:hint="eastAsia" w:ascii="楷体_GB2312" w:hAnsi="黑体" w:eastAsia="楷体_GB2312"/>
          <w:color w:val="auto"/>
          <w:sz w:val="32"/>
          <w:szCs w:val="32"/>
          <w:highlight w:val="none"/>
          <w:lang w:val="en-US" w:eastAsia="zh-CN"/>
        </w:rPr>
      </w:pPr>
    </w:p>
    <w:p w14:paraId="7897091F">
      <w:pPr>
        <w:numPr>
          <w:numId w:val="0"/>
        </w:numPr>
        <w:spacing w:line="640" w:lineRule="exact"/>
        <w:ind w:leftChars="-200"/>
        <w:jc w:val="both"/>
        <w:rPr>
          <w:rFonts w:hint="eastAsia" w:ascii="楷体_GB2312" w:hAnsi="黑体" w:eastAsia="楷体_GB2312"/>
          <w:color w:val="auto"/>
          <w:sz w:val="32"/>
          <w:szCs w:val="32"/>
          <w:highlight w:val="none"/>
          <w:lang w:val="en-US" w:eastAsia="zh-CN"/>
        </w:rPr>
      </w:pPr>
    </w:p>
    <w:p w14:paraId="0472198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6BB1CB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DD6BF8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419EED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3FC0065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sectPr>
          <w:headerReference r:id="rId3" w:type="default"/>
          <w:pgSz w:w="11906" w:h="16838"/>
          <w:pgMar w:top="2098" w:right="1474" w:bottom="1984" w:left="1587" w:header="851" w:footer="992" w:gutter="0"/>
          <w:pgNumType w:start="1"/>
          <w:cols w:space="425" w:num="1"/>
          <w:docGrid w:type="lines" w:linePitch="312" w:charSpace="0"/>
        </w:sectPr>
      </w:pPr>
    </w:p>
    <w:p w14:paraId="685B3FD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就当前经济形势和下半年经济工作 </w:t>
      </w:r>
    </w:p>
    <w:p w14:paraId="380987B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中共中央召开党外人士座谈会 </w:t>
      </w:r>
    </w:p>
    <w:p w14:paraId="7557BB8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习近平主持并发表重要讲话</w:t>
      </w:r>
    </w:p>
    <w:p w14:paraId="2A20EC9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537D8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月24日，中共中央在中南海召开党外人士座谈会，就当前经济形势和下半年经济工作听取各民主党派中央、全国工商联负责人和无党派人士代表的意见建议。中共中央总书记习近平主持座谈会并发表重要讲话强调，做好下半年经济工作，要坚持稳中求进工作总基调，完整准确全面贯彻新发展理念，加快构建新发展格局，更好统筹国内国际两个大局，统筹发展和安全，坚持深化改革开放，加快推动新旧动能转换，实施好更加积极的财政政策和适度宽松的货币政策，充分发挥各项存量政策效能，及时谋划出台务实管用的增量政策，加大逆周期调节力度，加力扩大内需、优化供给，切实保障和改善民生，增强发展动力、激发社会活力，推动经济持续向新向优向好发展，努力实现“十五五”良好开局。</w:t>
      </w:r>
    </w:p>
    <w:p w14:paraId="70824C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中共中央政治局常委李强、王沪宁、蔡奇、丁薛祥出席座谈会。李强受中共中央委托通报了上半年经济工作有关情况，介绍了关于下半年经济工作有关考虑。</w:t>
      </w:r>
    </w:p>
    <w:p w14:paraId="6DCA17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座谈会上，民革中央主席郑建邦、民盟中央主席丁仲礼、民建中央主席郝明金、民进中央主席蔡达峰、农工党中央主席何维、致公党中央主席蒋作君、九三学社中央主席武维华、台盟中央主席苏辉、全国工商联主席高云龙、无党派人士代表邵峰先后发言。大家完全赞同中共中央对当前经济形势的分析判断和下半年经济工作的考虑，并就培育壮大新动能、促进创新链与产业链融合发展、健全智能经济产业应用标准制度体系、统筹发挥经济社会文化建设合力、稳住重点群体就业、加强基础研究、精准落实扩大消费规划、进一步扩大有效投资、持续推进高水平对外开放、加大逆周期政策力度等提出意见建议。</w:t>
      </w:r>
    </w:p>
    <w:p w14:paraId="2F9E6D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认真听取大家发言后，习近平发表重要讲话。他指出，今年上半年，在中共中央坚强领导下，各地区各部门靠前发力、主动作为，有效应对内外风险挑战，我国经济顶压前行、向新向优，展现出强大韧性和活力。</w:t>
      </w:r>
    </w:p>
    <w:p w14:paraId="161D336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习近平强调，当前我国经济运行也面临一些困难挑战，要坚定信心、攻坚克难，推动高质量发展行稳致远。下半年，要增强宏观政策效能，重点做好挖掘内需潜力、推动科技创新和产业创新深度融合、全面深化改革、扩大高水平对外开放、有力有效保障和改善民生、持续化解重点领域风险等工作。</w:t>
      </w:r>
    </w:p>
    <w:p w14:paraId="6177D5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习近平指出，上半年，各民主党派中央、全国工商联和无党派人士坚决贯彻中共中央决策部署，主动服务国家大局，聚焦经济社会发展中的一些重点问题建言献策，为党和政府科学决策提供了重要参考。他代表中共中央向大家表示衷心感谢。</w:t>
      </w:r>
    </w:p>
    <w:p w14:paraId="63AC790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习近平对各民主党派、全国工商联和无党派人士提出3点希望。一是把思想和行动统一到中共中央关于当前经济形势的分析判断和对经济工作的决策部署上来，坚定发展信心，共同推动实现全年经济社会发展目标任务。二是积极履职尽责，在深入调研基础上提出有针对性的建议，为促进经济稳中向好贡献智慧力量。三是持续加强对广大成员和所联系群众的思想政治引领，引导大家学习领会党的创新理论，不断增进对中国共产党领导和中国特色社会主义的政治认同、思想认同、理论认同、情感认同，为推动高质量发展营造良好氛围。</w:t>
      </w:r>
    </w:p>
    <w:p w14:paraId="618F55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刘国中、李干杰、何立峰、张国清、吴政隆，中共中央、国务院有关部门负责人出席座谈会。</w:t>
      </w:r>
    </w:p>
    <w:p w14:paraId="076ECE4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出席座谈会的党外人士还有邵鸿、何报翔、王光谦、秦博勇、朱永新、杨震和张恩迪、方光华、张斌等。</w:t>
      </w:r>
    </w:p>
    <w:p w14:paraId="6F00B84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D532E5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7B834D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793741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9C7F73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BD4913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335E71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FF3634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3D4654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A3375E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65F0782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加快建设健康中国</w:t>
      </w:r>
    </w:p>
    <w:p w14:paraId="154E12D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习近平</w:t>
      </w:r>
    </w:p>
    <w:p w14:paraId="7ABD2A56">
      <w:pPr>
        <w:keepNext w:val="0"/>
        <w:keepLines w:val="0"/>
        <w:pageBreakBefore w:val="0"/>
        <w:widowControl/>
        <w:suppressLineNumbers w:val="0"/>
        <w:kinsoku/>
        <w:wordWrap/>
        <w:overflowPunct/>
        <w:topLinePunct w:val="0"/>
        <w:autoSpaceDE/>
        <w:autoSpaceDN/>
        <w:bidi w:val="0"/>
        <w:adjustRightInd/>
        <w:snapToGrid/>
        <w:spacing w:line="589"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14:paraId="6E6DB98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到2035年建成健康中国，是中共中央作出的一项战略决策。“十五五”是实现这一目标的关键时期，我们必须统筹谋划、加紧推进，力求取得决定性进展。</w:t>
      </w:r>
    </w:p>
    <w:p w14:paraId="2294C49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b/>
          <w:bCs/>
          <w:sz w:val="32"/>
          <w:szCs w:val="32"/>
          <w:lang w:val="en-US" w:eastAsia="zh-CN"/>
        </w:rPr>
        <w:t>第一，坚持从我国国情出发推动卫生与健康事业发展。</w:t>
      </w:r>
      <w:r>
        <w:rPr>
          <w:rFonts w:hint="eastAsia" w:ascii="仿宋_GB2312" w:hAnsi="仿宋_GB2312" w:eastAsia="仿宋_GB2312" w:cs="仿宋_GB2312"/>
          <w:sz w:val="32"/>
          <w:szCs w:val="32"/>
          <w:lang w:val="en-US" w:eastAsia="zh-CN"/>
        </w:rPr>
        <w:t>我国是社会主义国家，是人口规模巨大、城乡区域差距仍然较大的发展中国家，这决定我们必须坚持党对卫生与健康工作的领导，坚持人民至上、生命至上，坚持健康优先发展战略，坚持基本医疗卫生事业的公益性，走中国特色卫生与健康发展道路。在2016年的全国卫生与健康大会上，中共中央明确提出新时代卫生与健康工作方针，即以基层为重点，以改革创新为动力，预防为主，中西医并重，把健康融入所有政策，人民共建共享。新时代以来我国卫生与健康事业发展取得的历史性成就，充分证明这些要求符合我国国情，是完全正确的。当前和今后一个时期，我国卫生与健康工作需要因应形势发展变化，优化完善一些具体政策举措，但是走中国特色卫生与健康发展道路不能动摇，贯彻新时代卫生与健康工作方针不能动摇。在这些根本问题上，必须始终头脑清醒、保持战略定力。</w:t>
      </w:r>
    </w:p>
    <w:p w14:paraId="1745E94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b/>
          <w:bCs/>
          <w:sz w:val="32"/>
          <w:szCs w:val="32"/>
          <w:lang w:val="en-US" w:eastAsia="zh-CN"/>
        </w:rPr>
        <w:t>　第二，突出重点推进健康中国建设。</w:t>
      </w:r>
      <w:r>
        <w:rPr>
          <w:rFonts w:hint="eastAsia" w:ascii="仿宋_GB2312" w:hAnsi="仿宋_GB2312" w:eastAsia="仿宋_GB2312" w:cs="仿宋_GB2312"/>
          <w:sz w:val="32"/>
          <w:szCs w:val="32"/>
          <w:lang w:val="en-US" w:eastAsia="zh-CN"/>
        </w:rPr>
        <w:t>健康中国建设是一项系统工程。面对人民群众日益增长的多元化卫生健康需求，我们要紧紧抓住那些惠及面广、牵一发而动全身、对整个卫生与健康事业有重大影响的工作，集中力量和资源推动，不断取得新的成效。比如，健全公共卫生体系，要求深化社会共治、医防协同、医防融合，强化传染病预防控制、监测预警、医疗救治、应急处置、物资保障和监督管理。要高度重视心理健康和精神卫生问题，加强预防引导、早期发现和综合干预。再比如，人们对建设优质高效医疗服务体系的期望很高，要继续优化体系布局，实施医疗卫生强基工程，促进分级诊疗，加强县区和基层医疗卫生机构运行保障。要推进中西医结合，针对重点人群和薄弱专科加快补齐医疗服务短板，提高慢性病综合防控水平，扩大康复护理和安宁疗护等服务供给。又比如，倡导健康文明的生活方式，需要进一步提高全民健康素养，开展全民健身和爱国卫生运动，引导人们合理膳食、加强健康体重管理等，这些都要有实际举措和具体抓手。重点工作做到位了，健康中国建设就能扎实推进。</w:t>
      </w:r>
    </w:p>
    <w:p w14:paraId="5D16814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b/>
          <w:bCs/>
          <w:sz w:val="32"/>
          <w:szCs w:val="32"/>
          <w:lang w:val="en-US" w:eastAsia="zh-CN"/>
        </w:rPr>
        <w:t>第三，为健康中国建设提供有力保障。</w:t>
      </w:r>
      <w:r>
        <w:rPr>
          <w:rFonts w:hint="eastAsia" w:ascii="仿宋_GB2312" w:hAnsi="仿宋_GB2312" w:eastAsia="仿宋_GB2312" w:cs="仿宋_GB2312"/>
          <w:sz w:val="32"/>
          <w:szCs w:val="32"/>
          <w:lang w:val="en-US" w:eastAsia="zh-CN"/>
        </w:rPr>
        <w:t>这方面，要健全党委统一领导、党政齐抓共管的工作格局，完善健康促进政策制度体系，将健康理念融入公共政策制定实施的全过程。要深化公立医院改革和医保支付方式改革，健全药品价格形成机制、优化药品和医用耗材集中采购政策，提高医保资金使用效率，完善医疗、医保、医药协同发展和治理机制。要推动科技创新成果在卫生健康领域转化运用，推进全民健康数智化建设。要加强卫生健康行业的党建工作，调动广大医务人员的积极性主动性创造性，加大人才培养力度，弘扬优良医德医风，着力营造风清气正的行业环境。</w:t>
      </w:r>
    </w:p>
    <w:p w14:paraId="6D38137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建设健康中国，需要全社会共同努力。人民政协要发挥专门协商机构作用，聚焦相关理论和实践问题深入调查研究，提出务实管用的对策建议。农工党、九三学社成员，医药卫生界、社会福利和社会保障界人士，要用好专业优势，为建设健康中国贡献智慧和力量。</w:t>
      </w:r>
    </w:p>
    <w:p w14:paraId="283BE0E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※这是习近平总书记2026年3月6日在参加全国政协十四届四次会议农工党、九三学社、医药卫生界、社会福利和社会保障界委员联组会时讲话的主要部分。</w:t>
      </w:r>
    </w:p>
    <w:p w14:paraId="1C82130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sz w:val="32"/>
          <w:szCs w:val="32"/>
          <w:lang w:val="en-US" w:eastAsia="zh-CN"/>
        </w:rPr>
      </w:pPr>
    </w:p>
    <w:p w14:paraId="758F124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52" w:firstLineChars="0"/>
        <w:jc w:val="both"/>
        <w:textAlignment w:val="auto"/>
        <w:rPr>
          <w:rFonts w:hint="eastAsia" w:ascii="楷体_GB2312" w:hAnsi="楷体_GB2312" w:eastAsia="楷体_GB2312" w:cs="楷体_GB2312"/>
          <w:sz w:val="32"/>
          <w:szCs w:val="32"/>
          <w:lang w:val="en-US" w:eastAsia="zh-CN"/>
        </w:rPr>
      </w:pPr>
    </w:p>
    <w:p w14:paraId="25C30D0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52" w:firstLineChars="0"/>
        <w:jc w:val="both"/>
        <w:textAlignment w:val="auto"/>
        <w:rPr>
          <w:rFonts w:hint="eastAsia" w:ascii="楷体_GB2312" w:hAnsi="楷体_GB2312" w:eastAsia="楷体_GB2312" w:cs="楷体_GB2312"/>
          <w:sz w:val="32"/>
          <w:szCs w:val="32"/>
          <w:lang w:val="en-US" w:eastAsia="zh-CN"/>
        </w:rPr>
      </w:pPr>
    </w:p>
    <w:p w14:paraId="365C67A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sz w:val="32"/>
          <w:szCs w:val="32"/>
          <w:lang w:val="en-US" w:eastAsia="zh-CN"/>
        </w:rPr>
      </w:pPr>
    </w:p>
    <w:p w14:paraId="393975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1EE03E9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color w:val="auto"/>
          <w:sz w:val="32"/>
          <w:szCs w:val="32"/>
          <w:lang w:val="en-US" w:eastAsia="zh-CN"/>
        </w:rPr>
      </w:pPr>
    </w:p>
    <w:p w14:paraId="08EE6A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0B7A9B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7D9294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F4A7CE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F6EE1A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F39687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45F9C5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提高防灾减灾救灾能力</w:t>
      </w:r>
    </w:p>
    <w:p w14:paraId="69E2A6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习近平</w:t>
      </w:r>
      <w:bookmarkStart w:id="0" w:name="_GoBack"/>
      <w:bookmarkEnd w:id="0"/>
    </w:p>
    <w:p w14:paraId="0D3327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p w14:paraId="053B63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今天进行二十届中央政治局第二十五次集体学习，内容是提高防灾减灾救灾能力，主要是总结新时代防灾减灾救灾工作成效和经验，分析面临的形势和问题，对进一步做好这项工作进行思考。</w:t>
      </w:r>
    </w:p>
    <w:p w14:paraId="6C6AF872">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最大限度减少人员伤亡和财产损失，成效举世公认。</w:t>
      </w:r>
    </w:p>
    <w:p w14:paraId="225EBA50">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实践中我们深刻认识到，做好防灾减灾救灾工作，必须坚持党的全面领导，坚持人民至上、生命至上，坚持尊重自然规律，坚持预防为主，坚持改革创新，坚持系统观念，坚持社会共治。这些宝贵经验要坚持好运用好，并结合新的实际不断丰富和发展。</w:t>
      </w:r>
    </w:p>
    <w:p w14:paraId="203F7A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当前，我国防灾减灾救灾工作面临不少新情况新问题。全球气候持续变暖，极端天气和暴雨、洪涝、台风、干旱等灾害显著增多，破坏性加剧，且时空分布出现新变化。大震巨灾的潜在威胁加大，地质灾害、森林草原火险等隐患较多，冰湖溃决、海水倒灌等新型灾害日益显现。各种自然灾害的耦合性增强，次生灾害风险升高。要站在统筹高质量发展和高水平安全的战略高度，充分认识做好防灾减灾救灾工作的极端重要性，着力扬优势、补短板、强弱项，不断提高防范应对各类自然灾害的能力和水平，切实维护人民群众生命财产安全和社会稳定，确保中国式现代化行稳致远。</w:t>
      </w:r>
    </w:p>
    <w:p w14:paraId="098507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下面，我强调几点。</w:t>
      </w:r>
    </w:p>
    <w:p w14:paraId="36D81D76">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第一，推动灾害治理向事前预防转型。</w:t>
      </w:r>
      <w:r>
        <w:rPr>
          <w:rFonts w:hint="default" w:ascii="仿宋_GB2312" w:hAnsi="仿宋_GB2312" w:eastAsia="仿宋_GB2312" w:cs="仿宋_GB2312"/>
          <w:color w:val="auto"/>
          <w:sz w:val="32"/>
          <w:szCs w:val="32"/>
          <w:lang w:val="en-US" w:eastAsia="zh-CN"/>
        </w:rPr>
        <w:t>降低灾害风险，减轻灾害损失，重在事前预防。要坚持源头管控，将安全韧性要求贯穿国土空间规划及各类建设规划之中，有效规避自然灾害风险。要加强隐患排查，用好全国自然灾害综合风险普查成果，系统梳理、精准识别各类灾害风险。要强化工程治理，针对关键领域和薄弱环节深入实施自然灾害防治重点工程，合理提高重要城市和灾害多发地区关键基础设施设防标准，推进城市平急两用公共基础设施建设，加紧补齐北方地区防洪排涝抗灾基础设施短板。要加强对人口相对聚集的山沟沟口、行洪河道、临坡临崖等高风险地段的重点防控，通过工程治理、避险搬迁、禁限管理等措施，有效压降存量风险、遏制新增风险。</w:t>
      </w:r>
    </w:p>
    <w:p w14:paraId="350068B3">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第二，提升大灾巨灾应对处置能力。</w:t>
      </w:r>
      <w:r>
        <w:rPr>
          <w:rFonts w:hint="default" w:ascii="仿宋_GB2312" w:hAnsi="仿宋_GB2312" w:eastAsia="仿宋_GB2312" w:cs="仿宋_GB2312"/>
          <w:color w:val="auto"/>
          <w:sz w:val="32"/>
          <w:szCs w:val="32"/>
          <w:lang w:val="en-US" w:eastAsia="zh-CN"/>
        </w:rPr>
        <w:t>只要发生自然灾害，我们就要积极应对，做到有灾必救、有险必抢。对严重自然灾害，更要扎实细致做好应对准备。要树牢底线思维、极限思维，深入研判大灾巨灾风险可能在哪里，该怎么防、如何救，不断完善应急预案，把困难和挑战估计得更充分一些，把工作举措考虑得更周全一些。要健全监测预警体系，统筹推进技术创新、设施布局和信息共享，跟时间和险情赛跑，提高预警的及时性、精准性、通达性。要健全大安全大应急框架下应急指挥机制，加快推进国家综合性消防救援队伍和国家区域应急救援中心建设，提高极端情况下的救援能力，确保关键时刻拉得出、冲得上、打得赢。大灾巨灾影响面广、关联性强、破坏力大，要统筹做好综合救援、过渡安置和恢复重建工作，防止自然灾害风险向经济安全、能源资源安全、粮食安全、社会安全等领域传导和扩散。我们是社会主义国家，一定要在每一次大灾大考中交出优异答卷，充分彰显社会主义制度的优越性。</w:t>
      </w:r>
    </w:p>
    <w:p w14:paraId="77F59D1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第三，强化科技支撑和法治保障。</w:t>
      </w:r>
      <w:r>
        <w:rPr>
          <w:rFonts w:hint="default" w:ascii="仿宋_GB2312" w:hAnsi="仿宋_GB2312" w:eastAsia="仿宋_GB2312" w:cs="仿宋_GB2312"/>
          <w:color w:val="auto"/>
          <w:sz w:val="32"/>
          <w:szCs w:val="32"/>
          <w:lang w:val="en-US" w:eastAsia="zh-CN"/>
        </w:rPr>
        <w:t>科技方面，要充分发挥新型举国体制优势，推动应急领域科技创新和产业创新，增强防灾减灾救灾实力。加强应急学科建设和人才培养，深入开展自然灾害基础研究，努力把握自然灾害形成演变规律。推进监测预警、应急通信、生命探测、救援搜救等关键技术攻关，强化人工智能、卫星遥感、大数据、物联网、无人机等技术手段运用，加强先进适用装备研发和配备。深化国际防灾减灾救灾科技交流合作，积极借鉴其他国家有益经验和做法。法治方面，要健全应急领域法治体系，根据需要及时制定修订相关法律法规，把完善立法和严格执法结合起来，进一步提升防灾减灾救灾法治化水平。</w:t>
      </w:r>
    </w:p>
    <w:p w14:paraId="6F83A59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第四，夯实防灾减灾救灾基层基础。</w:t>
      </w:r>
      <w:r>
        <w:rPr>
          <w:rFonts w:hint="default" w:ascii="仿宋_GB2312" w:hAnsi="仿宋_GB2312" w:eastAsia="仿宋_GB2312" w:cs="仿宋_GB2312"/>
          <w:color w:val="auto"/>
          <w:sz w:val="32"/>
          <w:szCs w:val="32"/>
          <w:lang w:val="en-US" w:eastAsia="zh-CN"/>
        </w:rPr>
        <w:t>基层是抵御自然灾害的第一线，抓基层、强基础的工作始终不能放松。要推动资源和力量下沉，完善基层应急救援力量体系，依规配齐配强应急救援力量，强化应急场所建设和物资装备保障。要鼓励和支持社会应急力量建设，发挥群团、志愿服务等组织作用，完善群测群防群治体系。要加大防灾减灾救灾科普宣传力度，有针对性地开展自救互救演练，提高全民防灾避险意识和能力。要做好舆论引导工作，及时准确发布相关信息。</w:t>
      </w:r>
    </w:p>
    <w:p w14:paraId="2D689A6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第五，认真抓好责任落实。</w:t>
      </w:r>
      <w:r>
        <w:rPr>
          <w:rFonts w:hint="default" w:ascii="仿宋_GB2312" w:hAnsi="仿宋_GB2312" w:eastAsia="仿宋_GB2312" w:cs="仿宋_GB2312"/>
          <w:color w:val="auto"/>
          <w:sz w:val="32"/>
          <w:szCs w:val="32"/>
          <w:lang w:val="en-US" w:eastAsia="zh-CN"/>
        </w:rPr>
        <w:t>防灾减灾救灾涉及多个部门、多个灾种、多个环节，必须明晰职责分工，扣紧责任链条，攥指成拳形成合力。国家防灾减灾救灾委员会和防汛抗旱、抗震救灾、森林草原防灭火3个指挥部要加强统筹协调，应急管理部作为牵头部门要靠前发力。各地区各有关部门要守土尽责，坚持统分结合、防救衔接、上下联动，推动形成齐抓共管、协同配合的工作格局。</w:t>
      </w:r>
    </w:p>
    <w:p w14:paraId="7ED014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做好防灾减灾救灾工作，同样需要树立和践行正确政绩观。要深入查找这方面的政绩观偏差和错位问题，坚决纠正重发展轻安全、重救灾轻预防等倾向。要加强教育培训，着力提高各级干部的防灾减灾救灾能力，确保认识到位、责任到位、工作到位。</w:t>
      </w:r>
    </w:p>
    <w:p w14:paraId="79AB54E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※这是习近平总书记2026年4月28日在二十届中央政治局第二十五次集体学习时的讲话。</w:t>
      </w:r>
    </w:p>
    <w:p w14:paraId="2795F2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p w14:paraId="55FB60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p w14:paraId="112AE00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p w14:paraId="0651CCD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lang w:val="en-US" w:eastAsia="zh-CN"/>
        </w:rPr>
        <w:t>在纪念江泽民同志诞辰100周年大会上的讲话</w:t>
      </w:r>
    </w:p>
    <w:p w14:paraId="5B3F3DA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习近平</w:t>
      </w:r>
    </w:p>
    <w:p w14:paraId="3BE01C7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p>
    <w:p w14:paraId="47747B6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同志们，朋友们：</w:t>
      </w:r>
    </w:p>
    <w:p w14:paraId="3295F9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今天，我们隆重集会，纪念江泽民同志诞辰一百周年，深切缅怀他的丰功伟绩，深入学习他的崇高风范，激励全党全国各族人民把中国特色社会主义事业不断推向前进。</w:t>
      </w:r>
    </w:p>
    <w:p w14:paraId="705807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江泽民同志是全党全军全国各族人民公认的享有崇高威望的卓越领导人，伟大的马克思主义者，伟大的无产阶级革命家、政治家、军事家、外交家，久经考验的共产主义战士，中国特色社会主义伟大事业的杰出领导者，党的第三代中央领导集体的核心，“三个代表”重要思想的主要创立者。</w:t>
      </w:r>
    </w:p>
    <w:p w14:paraId="536A9B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一百年前的今天，江泽民同志出生在江苏省扬州市一个爱国知识分子家庭。他青少年时代就立志追求真理，积极参加爱国进步学生运动，1946年4月加入中国共产党，从此为党和人民事业奉献一生。</w:t>
      </w:r>
    </w:p>
    <w:p w14:paraId="26818F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中国成立后，江泽民同志先后在企业、科研单位、国家部委工作，在每个岗位都尽职尽责、勤奋努力，把火热年华献给了社会主义革命和建设事业。改革开放初期，江泽民同志担任国家进出口管理委员会、国家外国投资管理委员会副主任兼秘书长，后又任电子工业部第一副部长、部长，在改革开放方面做了大量开拓性工作。在党的十二大上，他当选为中央委员。</w:t>
      </w:r>
    </w:p>
    <w:p w14:paraId="2FB10B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1985年，江泽民同志任上海市委副书记、市长。1987年，他在党的十三届一中全会上当选为中央政治局委员，并任上海市委书记。在此期间，江泽民同志带领上海广大干部群众振奋精神、勇于探索，领导制定上海经济发展规划和城市建设规划，推动浦东开发开放蓄势谋篇，为推进上海改革开放和社会主义现代化建设作出了突出贡献。1989年春夏之交我国发生严重政治风波，江泽民同志坚决拥护和执行党中央正确决策，有力维护了上海稳定。</w:t>
      </w:r>
    </w:p>
    <w:p w14:paraId="5DC6A8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1989年6月，江泽民同志在党的十三届四中全会上当选为中央政治局常委、中央委员会总书记，同年11月党的十三届五中全会决定他为中共中央军事委员会主席，形成以江泽民同志为核心的党的第三代中央领导集体。</w:t>
      </w:r>
    </w:p>
    <w:p w14:paraId="11BE3F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从党的十三届四中全会到党的十六大的13年中，国际形势错综复杂，我国改革开放和社会主义现代化建设进程波澜壮阔。江泽民同志带领党的中央领导集体，高举马克思列宁主义、毛泽东思想、邓小平理论伟大旗帜，坚持党的基本路线不动摇，紧紧依靠全党全军全国各族人民，坚定不移坚持和发展中国特色社会主义，开创了我国改革开放和社会主义现代化建设新局面。</w:t>
      </w:r>
    </w:p>
    <w:p w14:paraId="3F9E81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在筹备党的十六大期间，江泽民同志主动提出不再担任中央领导职务，2004年主动提出辞去他担任的党和国家中央军事委员会主席的职务。从领导岗位上退下来后，江泽民同志坚决拥护和支持党中央工作，关心中国特色社会主义伟大事业，坚定支持党风廉政建设和反腐败斗争。</w:t>
      </w:r>
    </w:p>
    <w:p w14:paraId="3D46D1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同志们、朋友们！</w:t>
      </w:r>
    </w:p>
    <w:p w14:paraId="147C4B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江泽民同志的一生，是光辉的一生、战斗的一生，他为争取民族独立、人民解放和实现国家富强、人民幸福鞠躬尽瘁、奋斗终身。他领导推动社会主义物质文明、政治文明、精神文明建设和党的建设取得举世瞩目的新进展，为捍卫中国特色社会主义伟大事业、开创全面改革开放新局面、实现人民生活总体小康、成功把中国特色社会主义推向二十一世纪作出了不可磨灭的贡献，赢得了全党全军全国各族人民衷心爱戴和国际社会广泛赞誉！</w:t>
      </w:r>
    </w:p>
    <w:p w14:paraId="339EF6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同志们、朋友们！</w:t>
      </w:r>
    </w:p>
    <w:p w14:paraId="6A8B94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在70多年的革命生涯中，特别是在党的十三届四中全会之后推动党和国家事业取得巨大成就的伟大实践中，江泽民同志充分展示了作为马克思主义政治家的雄才大略、关键作用、领导艺术，树立了永远值得我们学习、永远激励我们前进的崇高风范。</w:t>
      </w:r>
    </w:p>
    <w:p w14:paraId="0171ED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们要学习江泽民同志坚定如磐的政治信仰。江泽民同志对共产主义理想坚贞不渝，对党和人民无限忠诚，矢志不移为党和人民事业而奋斗。他说：“我们共产党人的根本政治信仰是社会主义和共产主义，世界观是马克思主义的辩证唯物主义和历史唯物主义，这是任何时候都丝毫不能动摇的。”他临危受命担任党和军队主要领导职务时表示，对党的十一届三中全会以来的路线和基本政策，“要十分明确地讲两句话：一句是坚定不移，毫不动摇；一句是全面执行，一以贯之”。“为了党和人民的事业，我一定鞠躬尽瘁、死而后已”。面对20世纪80年代末90年代初国际风云变幻和国内发生严重政治风波的重大考验时，他毫不动摇坚持经济建设这个中心，旗帜鲜明坚持四项基本原则，坚持改革开放，开展治理整顿，进行外交斗争，坚决维护了国家的独立、尊严、安全、稳定。他深刻总结国内外经验教训，强调治国必先治党、治党务必从严，越是改革开放、发展经济，越要加强党的领导、抓好党的建设。他提出我们党始终是中国工人阶级的先锋队，同时是中国人民和中华民族的先锋队，强调领导干部要讲学习、讲政治、讲正气，推动着力解决提高领导水平和执政水平、增强拒腐防变和抵御风险能力两大历史性课题，保持党的先进性和纯洁性，扎实推进了党的建设新的伟大工程。</w:t>
      </w:r>
    </w:p>
    <w:p w14:paraId="6B5E49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征程上，我们要不忘初心、牢记使命，坚定对马克思主义的信仰、对共产主义的信念、对中国特色社会主义的信心，坚持党的基本理论、基本路线、基本方略，自觉增强“四个意识”、坚定“四个自信”、做到“两个维护”。要坚持党的全面领导和党中央集中统一领导，持之以恒推进全面从严治党，确保党始终成为中国特色社会主义事业的坚强领导核心。</w:t>
      </w:r>
    </w:p>
    <w:p w14:paraId="17D64C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们要学习江泽民同志真挚深厚的为民情怀。江泽民同志始终站在人民立场，关心人民群众安危冷暖，从最广大人民根本利益出发部署和推动工作。他强调：“全心全意为人民服务，立党为公，执政为民，是我们党同一切剥削阶级政党的根本区别。”“在任何时候任何情况下，与人民群众同呼吸、共命运的立场不能变，全心全意为人民服务的宗旨不能忘，坚信群众是真正英雄的历史唯物主义观点不能丢。”他深刻指出，发展经济的根本目的是提高全国人民生活水平和质量，强调要全面建设惠及十几亿人口的更高水平的小康社会。他要求党员、干部始终深怀爱民之心，恪守为民之责，善谋富民之策，多办利民之事，把最广大人民的根本利益实现好、维护好、发展好，把人民群众的积极性引导好、保护好、发挥好。他领导实施西部大开发战略、国家八七扶贫攻坚计划，出台增加农民收入、关心国有企业下岗职工生活和再就业等政策举措，有力推动了新时期实现人民生活从温饱不足到总体小康、奔向全面小康的历史性跨越。</w:t>
      </w:r>
    </w:p>
    <w:p w14:paraId="749244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征程上，我们要牢记江山就是人民、人民就是江山，坚持以人民为中心的发展思想，树立和践行正确政绩观，站稳人民立场，强化公仆意识，走好新时代党的群众路线，依靠人民创造历史伟业，推动人的全面发展、全体人民共同富裕迈出坚实步伐。</w:t>
      </w:r>
    </w:p>
    <w:p w14:paraId="547D6E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们要学习江泽民同志与时俱进的创新精神。江泽民同志坚持解放思想、实事求是、与时俱进，顺应时代发展要求和实践发展需要，不断推进理论创新、制度创新、科技创新、文化创新以及其他各方面创新。他强调：“创新是一个民族进步的灵魂，是一个国家兴旺发达的不竭动力，也是一个政党永葆生机的源泉。”“一定要以我国改革开放和现代化建设的实际问题、以我们正在做的事情为中心，着眼于马克思主义理论的运用，着眼于对实际问题的理论思考，着眼于新的实践和新的发展。”他提出党的全部理论和工作要体现时代性、把握规律性、富于创造性，集中全党智慧创立“三个代表”重要思想，强调我们党始终代表中国先进生产力的发展要求、代表中国先进文化的前进方向、代表中国最广大人民的根本利益，进一步回答了什么是社会主义、怎样建设社会主义的问题，创造性回答了建设什么样的党、怎样建设党的问题，深化了我们对新的时代条件下推进中国特色社会主义事业、加强党的建设规律的认识。他领导我们确定党在社会主义初级阶段的基本纲领，确立社会主义市场经济体制的改革目标和基本框架，确立公有制为主体、多种所有制经济共同发展的基本经济制度和按劳分配为主体、多种分配方式并存的分配制度，推动经济体制、政治体制、文化体制等各方面改革。他提出坚持“引进来”和“走出去”相结合，以开放促改革促发展，领导我们成功加入世界贸易组织，形成对外开放新格局。</w:t>
      </w:r>
    </w:p>
    <w:p w14:paraId="4123929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征程上，我们要坚持把马克思主义基本原理同中国具体实际相结合、同中华优秀传统文化相结合，科学回答中国之问、世界之问、人民之问、时代之问，不断开辟马克思主义中国化时代化新境界，始终保持马克思主义的蓬勃生机和旺盛活力。要进一步全面深化改革开放，推进国家治理体系和治理能力现代化，激发全党全社会创造活力，为经济社会发展注入源源不断的动力。</w:t>
      </w:r>
    </w:p>
    <w:p w14:paraId="2490C1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们要学习江泽民同志深谋远虑的战略思维。江泽民同志目光远大、审时度势，善于从中国和世界发展大势、从党和国家工作全局出发观察和思考问题，以一系列面向世界、着眼未来的重大决策、重要举措推动党和国家事业发展。他强调：“全党同志一定要用马克思主义的宽广眼界观察世界。所谓宽广的眼界，一是要有历史的深远眼光，一是要有世界的全局眼光。”“要正确认识我国社会和当今世界发生的重大变化，正确认识广大党员、干部和人民群众工作生活条件和社会环境发生的重大变化，正确认识这些变化对我们党和国家事业发展提出的新任务、新课题、新挑战，加强对全局性、战略性、前瞻性重大理论和实践问题的研究。”他从二十一世纪头20年是我国必须紧紧抓住并且可以大有作为的重要战略机遇期这一重大判断出发，对全面建设小康社会、实现第三步战略目标进行前瞻性谋划；提出抓住机遇、深化改革、扩大开放、促进发展、保持稳定的基本方针，全面阐述正确处理社会主义现代化建设中的十二大关系；坚持把发展作为党执政兴国的第一要务，引领全党全国各族人民聚精会神搞建设、一心一意谋发展；领导我们积极发展社会主义民主政治，实施依法治国基本方略，发展社会主义先进文化；主持制定新时期军事战略方针，推进中国特色军事变革，加强人民军队革命化、现代化、正规化建设；领导实现香港、澳门顺利回归，推动两岸双方达成体现一个中国原则的“九二共识”，有力开展反分裂、反“台独”重大斗争；提出一系列外交和国际战略思想，推动世界多极化和经济全球化朝着正确方向发展。</w:t>
      </w:r>
    </w:p>
    <w:p w14:paraId="4F5332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征程上，我们要统筹中华民族伟大复兴战略全局和世界百年未有之大变局，统揽伟大斗争、伟大工程、伟大事业、伟大梦想，统筹推进“五位一体”总体布局、协调推进“四个全面”战略布局，完整准确全面贯彻新发展理念，加快构建新发展格局，扎实推动高质量发展。要坚持维护世界和平、促进共同发展的外交政策宗旨，推动落实全球发展倡议、全球安全倡议、全球文明倡议、全球治理倡议，推动构建人类命运共同体，为世界和平与发展注入更多正能量。</w:t>
      </w:r>
    </w:p>
    <w:p w14:paraId="1E8BE7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我们要学习江泽民同志坚毅果敢的非凡胆略。江泽民同志勇于在重大历史关头和关键时刻果断决策，沉着应对风险挑战，坚决克服艰难险阻，为现代化建设开辟广阔空间、营造良好环境。他指出：“要把现代化事业干成功，必须有一种不畏艰难、顽强拼搏的钢铁意志，一种坚韧不拔、敢于胜利的英雄气概。”“对于符合党的路线方针政策和中央要求的事情，看准了的，就要果断决策、雷厉风行，绝不可优柔寡断、延误时机。”他以强烈的历史担当和巨大的政治勇气，领导我们妥善处置危及国家政治大局稳定的重大隐患，从容应对一系列关系我国主权和安全的国际突发事件，战胜在政治、经济领域和自然界出现的困难和风险，特别是成功抵御亚洲金融危机冲击、夺取1998年抗洪抢险斗争全面胜利，经受住一次又一次考验，排除形形色色的干扰，保持了社会大局稳定，保证了改革开放和社会主义现代化建设的航船破浪前进、行稳致远。</w:t>
      </w:r>
    </w:p>
    <w:p w14:paraId="08CCA1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新征程上，我们要强化忧患意识，树立底线思维，更好统筹发展和安全，以顽强的斗争精神、高超的斗争本领积极应对风高浪急甚至惊涛骇浪的重大考验，坚决捍卫国家主权、安全、发展利益，续写经济快速发展和社会长期稳定两大奇迹新篇章。</w:t>
      </w:r>
    </w:p>
    <w:p w14:paraId="2C116D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同志们、朋友们！</w:t>
      </w:r>
    </w:p>
    <w:p w14:paraId="08150E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江泽民同志曾经充满自信地展望：“在新世纪里，中国人民将坚定不移地沿着建设有中国特色社会主义道路继续前进，中国社会主义制度将经过不断改革而更加巩固和完善，中国的发展将通过各个地区的共同进步达到普遍繁荣，中华民族将在完成祖国统一和建立富强民主文明的社会主义现代化国家的基础上实现伟大的复兴！”今天，我们可以无比自豪地说，经过长期努力，党和国家事业兴旺发达，神州大地安定祥和，人民生活持续改善，实现中华民族伟大复兴前景光明，几代人矢志奋斗的梦想正在一步步成为现实。</w:t>
      </w:r>
    </w:p>
    <w:p w14:paraId="6D10AD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历尽天华成此景，人间万事出艰辛。”这是江泽民同志以豪迈诗句对奋斗的诠释。全党全军全国各族人民要更加紧密地团结在党中央周围，高举中国特色社会主义伟大旗帜，坚定信心、奋发图强，为以中国式现代化全面推进强国建设、民族复兴伟业而不懈奋斗，不断创造中国人民更加美好的生活，书写中华民族更加壮丽的华章！</w:t>
      </w:r>
    </w:p>
    <w:p w14:paraId="5EE0E4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sectPr>
      <w:footerReference r:id="rId4"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A6DFD">
    <w:pPr>
      <w:pStyle w:val="6"/>
    </w:pPr>
    <w:r>
      <mc:AlternateContent>
        <mc:Choice Requires="wps">
          <w:drawing>
            <wp:anchor distT="0" distB="0" distL="114300" distR="114300" simplePos="0" relativeHeight="251661312" behindDoc="0" locked="0" layoutInCell="1" allowOverlap="1">
              <wp:simplePos x="0" y="0"/>
              <wp:positionH relativeFrom="margin">
                <wp:posOffset>2562225</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9A3B5">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1.75pt;margin-top:0pt;height:144pt;width:144pt;mso-position-horizontal-relative:margin;mso-wrap-style:none;z-index:251661312;mso-width-relative:page;mso-height-relative:page;" filled="f" stroked="f" coordsize="21600,21600" o:gfxdata="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OTkvfVAAAACAEAAA8AAAAAAAAAAQAgAAAAIgAAAGRycy9kb3ducmV2LnhtbFBLAQIUABQA&#10;AAAIAIdO4kAXDIm4LAIAAFUEAAAOAAAAAAAAAAEAIAAAACQBAABkcnMvZTJvRG9jLnhtbFBLBQYA&#10;AAAABgAGAFkBAADCBQAAAAA=&#10;">
              <v:fill on="f" focussize="0,0"/>
              <v:stroke on="f" weight="0.5pt"/>
              <v:imagedata o:title=""/>
              <o:lock v:ext="edit" aspectratio="f"/>
              <v:textbox inset="0mm,0mm,0mm,0mm" style="mso-fit-shape-to-text:t;">
                <w:txbxContent>
                  <w:p w14:paraId="2F59A3B5">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EF2F">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E0B51"/>
    <w:multiLevelType w:val="singleLevel"/>
    <w:tmpl w:val="E3BE0B51"/>
    <w:lvl w:ilvl="0" w:tentative="0">
      <w:start w:val="1"/>
      <w:numFmt w:val="chineseCounting"/>
      <w:suff w:val="nothing"/>
      <w:lvlText w:val="%1、"/>
      <w:lvlJc w:val="left"/>
      <w:rPr>
        <w:rFonts w:hint="eastAsia"/>
      </w:rPr>
    </w:lvl>
  </w:abstractNum>
  <w:abstractNum w:abstractNumId="1">
    <w:nsid w:val="363B33A2"/>
    <w:multiLevelType w:val="multilevel"/>
    <w:tmpl w:val="363B33A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1NGZmYjAwODdlNzk5YTE2ZDZlZDgxNWM4OGVlZmQifQ=="/>
  </w:docVars>
  <w:rsids>
    <w:rsidRoot w:val="00C63BE6"/>
    <w:rsid w:val="00004DEB"/>
    <w:rsid w:val="002153DD"/>
    <w:rsid w:val="00252FE3"/>
    <w:rsid w:val="002C0A82"/>
    <w:rsid w:val="00383A8E"/>
    <w:rsid w:val="004742E7"/>
    <w:rsid w:val="00474E39"/>
    <w:rsid w:val="00572FAE"/>
    <w:rsid w:val="00577133"/>
    <w:rsid w:val="006C1B7C"/>
    <w:rsid w:val="00884742"/>
    <w:rsid w:val="008B0155"/>
    <w:rsid w:val="00957CA6"/>
    <w:rsid w:val="00987770"/>
    <w:rsid w:val="00B0511C"/>
    <w:rsid w:val="00C63BE6"/>
    <w:rsid w:val="00C63E79"/>
    <w:rsid w:val="00C7227E"/>
    <w:rsid w:val="00D020F6"/>
    <w:rsid w:val="00E7604E"/>
    <w:rsid w:val="00F56AD1"/>
    <w:rsid w:val="011F2617"/>
    <w:rsid w:val="020815C2"/>
    <w:rsid w:val="02867E41"/>
    <w:rsid w:val="03031491"/>
    <w:rsid w:val="03031E75"/>
    <w:rsid w:val="0383205A"/>
    <w:rsid w:val="044B0EB6"/>
    <w:rsid w:val="04952178"/>
    <w:rsid w:val="04B27882"/>
    <w:rsid w:val="04D875D4"/>
    <w:rsid w:val="05085485"/>
    <w:rsid w:val="05412745"/>
    <w:rsid w:val="061C31D4"/>
    <w:rsid w:val="06514C09"/>
    <w:rsid w:val="07185E70"/>
    <w:rsid w:val="074D4B8A"/>
    <w:rsid w:val="0768146A"/>
    <w:rsid w:val="0771104F"/>
    <w:rsid w:val="08154EC9"/>
    <w:rsid w:val="084B186C"/>
    <w:rsid w:val="08BA6325"/>
    <w:rsid w:val="08E51639"/>
    <w:rsid w:val="08E815B7"/>
    <w:rsid w:val="09FE6E56"/>
    <w:rsid w:val="0A2D5046"/>
    <w:rsid w:val="0AB73794"/>
    <w:rsid w:val="0AFC58C1"/>
    <w:rsid w:val="0B57540A"/>
    <w:rsid w:val="0B7D0400"/>
    <w:rsid w:val="0BE32EEA"/>
    <w:rsid w:val="0C0F66CB"/>
    <w:rsid w:val="0D6F3E27"/>
    <w:rsid w:val="0D987650"/>
    <w:rsid w:val="0DB74FFE"/>
    <w:rsid w:val="0DCE6B40"/>
    <w:rsid w:val="0E1A44DD"/>
    <w:rsid w:val="0F42154E"/>
    <w:rsid w:val="0F5371D2"/>
    <w:rsid w:val="10156094"/>
    <w:rsid w:val="102918FB"/>
    <w:rsid w:val="105B6F8A"/>
    <w:rsid w:val="10A51DDA"/>
    <w:rsid w:val="10D127C3"/>
    <w:rsid w:val="10D51477"/>
    <w:rsid w:val="1182211B"/>
    <w:rsid w:val="11AA1E77"/>
    <w:rsid w:val="11B22AD8"/>
    <w:rsid w:val="11EF075E"/>
    <w:rsid w:val="13A062E5"/>
    <w:rsid w:val="13D754E4"/>
    <w:rsid w:val="13EE7465"/>
    <w:rsid w:val="14323D3C"/>
    <w:rsid w:val="14712E9C"/>
    <w:rsid w:val="147C11CB"/>
    <w:rsid w:val="149914ED"/>
    <w:rsid w:val="14B65547"/>
    <w:rsid w:val="14EC1212"/>
    <w:rsid w:val="15742594"/>
    <w:rsid w:val="15A144A6"/>
    <w:rsid w:val="15C46400"/>
    <w:rsid w:val="15F372C8"/>
    <w:rsid w:val="169B0AD0"/>
    <w:rsid w:val="182B1DF7"/>
    <w:rsid w:val="188B7ABB"/>
    <w:rsid w:val="192C390A"/>
    <w:rsid w:val="1A8C6258"/>
    <w:rsid w:val="1ACF03B6"/>
    <w:rsid w:val="1B2E4481"/>
    <w:rsid w:val="1C08690F"/>
    <w:rsid w:val="1C6D40EC"/>
    <w:rsid w:val="1C9110EF"/>
    <w:rsid w:val="1CF5235C"/>
    <w:rsid w:val="1DD2622D"/>
    <w:rsid w:val="1DEF6857"/>
    <w:rsid w:val="1DF4479B"/>
    <w:rsid w:val="1E107D12"/>
    <w:rsid w:val="1E8963F2"/>
    <w:rsid w:val="1EA00A73"/>
    <w:rsid w:val="1F0B3750"/>
    <w:rsid w:val="1F1E30AE"/>
    <w:rsid w:val="1F8D7FA0"/>
    <w:rsid w:val="207D4518"/>
    <w:rsid w:val="20B52C97"/>
    <w:rsid w:val="21BC247E"/>
    <w:rsid w:val="2223559A"/>
    <w:rsid w:val="24727DCD"/>
    <w:rsid w:val="24FE7EC9"/>
    <w:rsid w:val="25BE6B0C"/>
    <w:rsid w:val="26F55D4A"/>
    <w:rsid w:val="27A52CD3"/>
    <w:rsid w:val="281F026C"/>
    <w:rsid w:val="28DC5964"/>
    <w:rsid w:val="29653B65"/>
    <w:rsid w:val="29E740EA"/>
    <w:rsid w:val="2A667EDB"/>
    <w:rsid w:val="2A8E3487"/>
    <w:rsid w:val="2C092571"/>
    <w:rsid w:val="2C2D7201"/>
    <w:rsid w:val="2C390BAE"/>
    <w:rsid w:val="2CAA1BC5"/>
    <w:rsid w:val="2E1063E3"/>
    <w:rsid w:val="2ECC5FDD"/>
    <w:rsid w:val="2F327E33"/>
    <w:rsid w:val="2FC306DF"/>
    <w:rsid w:val="30072CE3"/>
    <w:rsid w:val="30977951"/>
    <w:rsid w:val="316B4522"/>
    <w:rsid w:val="31D4507B"/>
    <w:rsid w:val="31E87A7F"/>
    <w:rsid w:val="32282052"/>
    <w:rsid w:val="32C37A45"/>
    <w:rsid w:val="335C246D"/>
    <w:rsid w:val="33B414CA"/>
    <w:rsid w:val="33CC72F1"/>
    <w:rsid w:val="33EF4EEF"/>
    <w:rsid w:val="361A2595"/>
    <w:rsid w:val="37D05DAA"/>
    <w:rsid w:val="3829475E"/>
    <w:rsid w:val="384D372D"/>
    <w:rsid w:val="39363667"/>
    <w:rsid w:val="398057DC"/>
    <w:rsid w:val="3B1D5F20"/>
    <w:rsid w:val="3C700C3E"/>
    <w:rsid w:val="3EAD3546"/>
    <w:rsid w:val="3F0607D0"/>
    <w:rsid w:val="406F7B96"/>
    <w:rsid w:val="41731A9F"/>
    <w:rsid w:val="41E77BF5"/>
    <w:rsid w:val="421E3C19"/>
    <w:rsid w:val="43104F29"/>
    <w:rsid w:val="44095C00"/>
    <w:rsid w:val="444011F8"/>
    <w:rsid w:val="46824B9B"/>
    <w:rsid w:val="468B6F9A"/>
    <w:rsid w:val="47092B28"/>
    <w:rsid w:val="47372A84"/>
    <w:rsid w:val="47486945"/>
    <w:rsid w:val="47A520E4"/>
    <w:rsid w:val="47B41FB4"/>
    <w:rsid w:val="47E615CC"/>
    <w:rsid w:val="480224E2"/>
    <w:rsid w:val="4840005F"/>
    <w:rsid w:val="48B1627F"/>
    <w:rsid w:val="4B4606FF"/>
    <w:rsid w:val="4BC13280"/>
    <w:rsid w:val="4C344056"/>
    <w:rsid w:val="4CAB12ED"/>
    <w:rsid w:val="4E7B0C6B"/>
    <w:rsid w:val="4EBD6243"/>
    <w:rsid w:val="4F254F06"/>
    <w:rsid w:val="513444D8"/>
    <w:rsid w:val="51700605"/>
    <w:rsid w:val="51B32451"/>
    <w:rsid w:val="51BE2FD9"/>
    <w:rsid w:val="52E6027B"/>
    <w:rsid w:val="52F118A1"/>
    <w:rsid w:val="53185E60"/>
    <w:rsid w:val="538D0FE8"/>
    <w:rsid w:val="53C12487"/>
    <w:rsid w:val="54381450"/>
    <w:rsid w:val="543A5854"/>
    <w:rsid w:val="54707BD9"/>
    <w:rsid w:val="563C256E"/>
    <w:rsid w:val="563F548B"/>
    <w:rsid w:val="56B7346D"/>
    <w:rsid w:val="56D51C6F"/>
    <w:rsid w:val="56F35646"/>
    <w:rsid w:val="579B7B05"/>
    <w:rsid w:val="5894024B"/>
    <w:rsid w:val="58AD09C1"/>
    <w:rsid w:val="59125CC4"/>
    <w:rsid w:val="597D41A4"/>
    <w:rsid w:val="59B6770B"/>
    <w:rsid w:val="59E628AC"/>
    <w:rsid w:val="5A4A7D03"/>
    <w:rsid w:val="5AC142A1"/>
    <w:rsid w:val="5B0F2DB8"/>
    <w:rsid w:val="5B394BC5"/>
    <w:rsid w:val="5B6F4A8B"/>
    <w:rsid w:val="5B9A70B8"/>
    <w:rsid w:val="5D2F7CA9"/>
    <w:rsid w:val="5D557A6A"/>
    <w:rsid w:val="5D7D5DA6"/>
    <w:rsid w:val="5D9425F4"/>
    <w:rsid w:val="5DDF63AB"/>
    <w:rsid w:val="5DF64B06"/>
    <w:rsid w:val="5F1C5A6D"/>
    <w:rsid w:val="5F4E6332"/>
    <w:rsid w:val="60487659"/>
    <w:rsid w:val="606721D5"/>
    <w:rsid w:val="613C5AF4"/>
    <w:rsid w:val="6174313E"/>
    <w:rsid w:val="61EE5FDE"/>
    <w:rsid w:val="629E6958"/>
    <w:rsid w:val="63391A64"/>
    <w:rsid w:val="63482C0B"/>
    <w:rsid w:val="63B94086"/>
    <w:rsid w:val="63C34609"/>
    <w:rsid w:val="64853567"/>
    <w:rsid w:val="652F0DE7"/>
    <w:rsid w:val="66CE62C4"/>
    <w:rsid w:val="67122238"/>
    <w:rsid w:val="68141390"/>
    <w:rsid w:val="68342E40"/>
    <w:rsid w:val="685E4A1D"/>
    <w:rsid w:val="6A216CB1"/>
    <w:rsid w:val="6A6D6E40"/>
    <w:rsid w:val="6A88226F"/>
    <w:rsid w:val="6B1228A9"/>
    <w:rsid w:val="6BA96764"/>
    <w:rsid w:val="6BE325AB"/>
    <w:rsid w:val="6CD858B4"/>
    <w:rsid w:val="6CF54F38"/>
    <w:rsid w:val="6D8B788B"/>
    <w:rsid w:val="6E064F04"/>
    <w:rsid w:val="6E6164B5"/>
    <w:rsid w:val="6F060E0B"/>
    <w:rsid w:val="6FE73226"/>
    <w:rsid w:val="706B7E42"/>
    <w:rsid w:val="70A92E7E"/>
    <w:rsid w:val="70C34349"/>
    <w:rsid w:val="71AD7C63"/>
    <w:rsid w:val="724A3704"/>
    <w:rsid w:val="72C36473"/>
    <w:rsid w:val="72DD1E82"/>
    <w:rsid w:val="72F87F30"/>
    <w:rsid w:val="74EA0887"/>
    <w:rsid w:val="75197AE2"/>
    <w:rsid w:val="75A60C51"/>
    <w:rsid w:val="765B0C8B"/>
    <w:rsid w:val="769F50C1"/>
    <w:rsid w:val="76CB6F68"/>
    <w:rsid w:val="776E31BF"/>
    <w:rsid w:val="77891EF1"/>
    <w:rsid w:val="77C93E9D"/>
    <w:rsid w:val="77FD75A4"/>
    <w:rsid w:val="7918401D"/>
    <w:rsid w:val="79A27982"/>
    <w:rsid w:val="79DA25CC"/>
    <w:rsid w:val="79F51639"/>
    <w:rsid w:val="7A2C78CF"/>
    <w:rsid w:val="7A6C349F"/>
    <w:rsid w:val="7B317B0D"/>
    <w:rsid w:val="7BE031B8"/>
    <w:rsid w:val="7C6B2567"/>
    <w:rsid w:val="7D637428"/>
    <w:rsid w:val="7E261B78"/>
    <w:rsid w:val="7EA561DB"/>
    <w:rsid w:val="7F535DD8"/>
    <w:rsid w:val="7F800502"/>
    <w:rsid w:val="7F894F56"/>
    <w:rsid w:val="7FA327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6"/>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18"/>
    <w:autoRedefine/>
    <w:semiHidden/>
    <w:unhideWhenUsed/>
    <w:qFormat/>
    <w:uiPriority w:val="99"/>
    <w:pPr>
      <w:ind w:left="100" w:leftChars="2500"/>
    </w:pPr>
  </w:style>
  <w:style w:type="paragraph" w:styleId="5">
    <w:name w:val="Balloon Text"/>
    <w:basedOn w:val="1"/>
    <w:link w:val="17"/>
    <w:autoRedefine/>
    <w:qFormat/>
    <w:uiPriority w:val="99"/>
    <w:rPr>
      <w:sz w:val="18"/>
      <w:szCs w:val="18"/>
    </w:rPr>
  </w:style>
  <w:style w:type="paragraph" w:styleId="6">
    <w:name w:val="footer"/>
    <w:basedOn w:val="1"/>
    <w:link w:val="14"/>
    <w:autoRedefine/>
    <w:qFormat/>
    <w:uiPriority w:val="99"/>
    <w:pPr>
      <w:tabs>
        <w:tab w:val="center" w:pos="4153"/>
        <w:tab w:val="right" w:pos="8306"/>
      </w:tabs>
      <w:snapToGrid w:val="0"/>
      <w:jc w:val="left"/>
    </w:pPr>
    <w:rPr>
      <w:sz w:val="18"/>
      <w:szCs w:val="18"/>
    </w:rPr>
  </w:style>
  <w:style w:type="paragraph" w:styleId="7">
    <w:name w:val="header"/>
    <w:basedOn w:val="1"/>
    <w:link w:val="13"/>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99"/>
    <w:pPr>
      <w:widowControl/>
      <w:spacing w:before="100" w:beforeAutospacing="1" w:after="100" w:afterAutospacing="1"/>
      <w:jc w:val="left"/>
    </w:pPr>
    <w:rPr>
      <w:rFonts w:ascii="宋体" w:hAnsi="宋体"/>
      <w:kern w:val="0"/>
      <w:sz w:val="24"/>
      <w:szCs w:val="24"/>
    </w:rPr>
  </w:style>
  <w:style w:type="character" w:styleId="11">
    <w:name w:val="Strong"/>
    <w:basedOn w:val="10"/>
    <w:autoRedefine/>
    <w:qFormat/>
    <w:uiPriority w:val="22"/>
    <w:rPr>
      <w:b/>
      <w:bCs/>
    </w:rPr>
  </w:style>
  <w:style w:type="character" w:styleId="12">
    <w:name w:val="Hyperlink"/>
    <w:basedOn w:val="10"/>
    <w:autoRedefine/>
    <w:qFormat/>
    <w:uiPriority w:val="99"/>
    <w:rPr>
      <w:color w:val="0000FF"/>
      <w:u w:val="single"/>
    </w:rPr>
  </w:style>
  <w:style w:type="character" w:customStyle="1" w:styleId="13">
    <w:name w:val="页眉 Char"/>
    <w:basedOn w:val="10"/>
    <w:link w:val="7"/>
    <w:autoRedefine/>
    <w:qFormat/>
    <w:uiPriority w:val="99"/>
    <w:rPr>
      <w:sz w:val="18"/>
      <w:szCs w:val="18"/>
    </w:rPr>
  </w:style>
  <w:style w:type="character" w:customStyle="1" w:styleId="14">
    <w:name w:val="页脚 Char"/>
    <w:basedOn w:val="10"/>
    <w:link w:val="6"/>
    <w:autoRedefine/>
    <w:qFormat/>
    <w:uiPriority w:val="99"/>
    <w:rPr>
      <w:sz w:val="18"/>
      <w:szCs w:val="18"/>
    </w:rPr>
  </w:style>
  <w:style w:type="paragraph" w:styleId="15">
    <w:name w:val="List Paragraph"/>
    <w:basedOn w:val="1"/>
    <w:autoRedefine/>
    <w:qFormat/>
    <w:uiPriority w:val="34"/>
    <w:pPr>
      <w:ind w:firstLine="420" w:firstLineChars="200"/>
    </w:pPr>
  </w:style>
  <w:style w:type="character" w:customStyle="1" w:styleId="16">
    <w:name w:val="标题 1 Char"/>
    <w:basedOn w:val="10"/>
    <w:link w:val="2"/>
    <w:autoRedefine/>
    <w:qFormat/>
    <w:uiPriority w:val="9"/>
    <w:rPr>
      <w:rFonts w:ascii="宋体" w:hAnsi="宋体" w:eastAsia="宋体" w:cs="宋体"/>
      <w:b/>
      <w:bCs/>
      <w:kern w:val="36"/>
      <w:sz w:val="48"/>
      <w:szCs w:val="48"/>
    </w:rPr>
  </w:style>
  <w:style w:type="character" w:customStyle="1" w:styleId="17">
    <w:name w:val="批注框文本 Char"/>
    <w:basedOn w:val="10"/>
    <w:link w:val="5"/>
    <w:autoRedefine/>
    <w:qFormat/>
    <w:uiPriority w:val="99"/>
    <w:rPr>
      <w:kern w:val="2"/>
      <w:sz w:val="18"/>
      <w:szCs w:val="18"/>
    </w:rPr>
  </w:style>
  <w:style w:type="character" w:customStyle="1" w:styleId="18">
    <w:name w:val="日期 Char"/>
    <w:basedOn w:val="10"/>
    <w:link w:val="4"/>
    <w:autoRedefine/>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20</Pages>
  <Words>10822</Words>
  <Characters>10982</Characters>
  <Lines>83</Lines>
  <Paragraphs>23</Paragraphs>
  <TotalTime>3</TotalTime>
  <ScaleCrop>false</ScaleCrop>
  <LinksUpToDate>false</LinksUpToDate>
  <CharactersWithSpaces>11019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2021-03-31T01:32:00Z</dcterms:created>
  <dc:creator>lenovo</dc:creator>
  <cp:lastModifiedBy>空白</cp:lastModifiedBy>
  <dcterms:modified xsi:type="dcterms:W3CDTF">2026-10-10T16:07:05Z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22BD0D87A3D94DFD80E92014589A59E1_13</vt:lpwstr>
  </property>
  <property fmtid="{D5CDD505-2E9C-101B-9397-08002B2CF9AE}" pid="4" name="KSOTemplateDocerSaveRecord">
    <vt:lpwstr>eyJoZGlkIjoiODI0MWYwYTYzMGQ5OGUzODgzOWE3MTY3MDI0OGI4OWYiLCJ1c2VySWQiOiIyNDQ4ODg5NDUifQ==</vt:lpwstr>
  </property>
</Properties>
</file>