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color w:val="auto"/>
        </w:rPr>
      </w:pPr>
    </w:p>
    <w:p>
      <w:pPr>
        <w:jc w:val="center"/>
        <w:rPr>
          <w:color w:val="auto"/>
        </w:rPr>
      </w:pP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期）</w:t>
      </w:r>
    </w:p>
    <w:p>
      <w:pPr>
        <w:jc w:val="center"/>
        <w:rPr>
          <w:rFonts w:ascii="黑体" w:hAnsi="黑体" w:eastAsia="黑体"/>
          <w:color w:val="auto"/>
          <w:sz w:val="24"/>
          <w:szCs w:val="24"/>
        </w:rPr>
      </w:pPr>
      <w:r>
        <w:rPr>
          <w:rFonts w:hint="eastAsia" w:ascii="黑体" w:hAnsi="黑体" w:eastAsia="黑体"/>
          <w:color w:val="auto"/>
          <w:sz w:val="24"/>
          <w:szCs w:val="24"/>
        </w:rPr>
        <w:t xml:space="preserve">泰山学院党委宣传部编                                </w:t>
      </w:r>
      <w:r>
        <w:rPr>
          <w:rFonts w:hint="eastAsia" w:ascii="黑体" w:hAnsi="黑体" w:eastAsia="黑体"/>
          <w:color w:val="auto"/>
          <w:sz w:val="24"/>
          <w:szCs w:val="24"/>
        </w:rPr>
        <w:t xml:space="preserve"> 2023年</w:t>
      </w:r>
      <w:r>
        <w:rPr>
          <w:rFonts w:hint="eastAsia" w:ascii="黑体" w:hAnsi="黑体" w:eastAsia="黑体"/>
          <w:color w:val="auto"/>
          <w:sz w:val="24"/>
          <w:szCs w:val="24"/>
          <w:lang w:val="en-US" w:eastAsia="zh-CN"/>
        </w:rPr>
        <w:t>3</w:t>
      </w:r>
      <w:r>
        <w:rPr>
          <w:rFonts w:hint="eastAsia" w:ascii="黑体" w:hAnsi="黑体" w:eastAsia="黑体"/>
          <w:color w:val="auto"/>
          <w:sz w:val="24"/>
          <w:szCs w:val="24"/>
        </w:rPr>
        <w:t>月</w:t>
      </w:r>
      <w:r>
        <w:rPr>
          <w:rFonts w:hint="eastAsia" w:ascii="黑体" w:hAnsi="黑体" w:eastAsia="黑体"/>
          <w:color w:val="auto"/>
          <w:sz w:val="24"/>
          <w:szCs w:val="24"/>
          <w:lang w:val="en-US" w:eastAsia="zh-CN"/>
        </w:rPr>
        <w:t>2</w:t>
      </w:r>
      <w:r>
        <w:rPr>
          <w:rFonts w:hint="eastAsia" w:ascii="黑体" w:hAnsi="黑体" w:eastAsia="黑体"/>
          <w:color w:val="auto"/>
          <w:sz w:val="24"/>
          <w:szCs w:val="24"/>
        </w:rPr>
        <w:t>日</w:t>
      </w:r>
    </w:p>
    <w:p>
      <w:pPr>
        <w:jc w:val="center"/>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rPr>
          <w:rFonts w:ascii="黑体" w:hAnsi="黑体" w:eastAsia="黑体"/>
          <w:color w:val="auto"/>
          <w:sz w:val="24"/>
          <w:szCs w:val="24"/>
        </w:rPr>
      </w:pP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pStyle w:val="14"/>
        <w:ind w:left="420" w:firstLine="0" w:firstLineChars="0"/>
        <w:rPr>
          <w:rFonts w:ascii="楷体_GB2312" w:hAnsi="方正小标宋简体" w:eastAsia="楷体_GB2312" w:cs="方正小标宋简体"/>
          <w:bCs/>
          <w:color w:val="auto"/>
          <w:sz w:val="32"/>
          <w:szCs w:val="32"/>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一、习近平：当前经济工作的几个重大问题........ ......1</w:t>
      </w:r>
    </w:p>
    <w:p>
      <w:pPr>
        <w:spacing w:line="640" w:lineRule="exact"/>
        <w:ind w:left="640" w:hanging="640" w:hangingChars="200"/>
        <w:rPr>
          <w:rFonts w:hint="eastAsia" w:ascii="楷体_GB2312" w:hAnsi="黑体" w:eastAsia="楷体_GB2312"/>
          <w:color w:val="auto"/>
          <w:sz w:val="32"/>
          <w:szCs w:val="32"/>
          <w:lang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、习近平：切实加强基础研究 夯实科技自立自强根基...</w:t>
      </w:r>
      <w:r>
        <w:rPr>
          <w:rFonts w:hint="eastAsia" w:ascii="楷体_GB2312" w:hAnsi="黑体" w:eastAsia="楷体_GB2312"/>
          <w:color w:val="auto"/>
          <w:sz w:val="32"/>
          <w:szCs w:val="32"/>
          <w:lang w:val="en-US" w:eastAsia="zh-CN"/>
        </w:rPr>
        <w:t>8</w:t>
      </w: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三</w:t>
      </w:r>
      <w:r>
        <w:rPr>
          <w:rFonts w:hint="eastAsia" w:ascii="楷体_GB2312" w:hAnsi="黑体" w:eastAsia="楷体_GB2312"/>
          <w:color w:val="auto"/>
          <w:sz w:val="32"/>
          <w:szCs w:val="32"/>
        </w:rPr>
        <w:t>、</w:t>
      </w:r>
      <w:r>
        <w:rPr>
          <w:rFonts w:hint="eastAsia" w:ascii="楷体_GB2312" w:hAnsi="黑体" w:eastAsia="楷体_GB2312"/>
          <w:color w:val="auto"/>
          <w:sz w:val="32"/>
          <w:szCs w:val="32"/>
        </w:rPr>
        <w:t>习近平:深刻把握雷锋精神的时代内涵 让雷锋精神在新时代绽放更加璀璨的光芒....</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hint="eastAsia" w:ascii="楷体_GB2312" w:hAnsi="黑体" w:eastAsia="楷体_GB2312"/>
          <w:color w:val="auto"/>
          <w:sz w:val="32"/>
          <w:szCs w:val="32"/>
        </w:rPr>
        <w:t>............13</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四</w:t>
      </w:r>
      <w:r>
        <w:rPr>
          <w:rFonts w:hint="eastAsia" w:ascii="楷体_GB2312" w:hAnsi="黑体" w:eastAsia="楷体_GB2312"/>
          <w:color w:val="auto"/>
          <w:sz w:val="32"/>
          <w:szCs w:val="32"/>
        </w:rPr>
        <w:t>、</w:t>
      </w:r>
      <w:r>
        <w:rPr>
          <w:rFonts w:hint="eastAsia" w:ascii="楷体_GB2312" w:hAnsi="黑体" w:eastAsia="楷体_GB2312"/>
          <w:color w:val="auto"/>
          <w:sz w:val="32"/>
          <w:szCs w:val="32"/>
        </w:rPr>
        <w:t>习近平</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rPr>
        <w:t>新时代党和人民奋进的必由之路</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color w:val="auto"/>
        </w:rPr>
        <w:t xml:space="preserve"> </w:t>
      </w:r>
      <w:r>
        <w:rPr>
          <w:rFonts w:ascii="楷体_GB2312" w:hAnsi="黑体" w:eastAsia="楷体_GB2312"/>
          <w:color w:val="auto"/>
          <w:sz w:val="32"/>
          <w:szCs w:val="32"/>
        </w:rPr>
        <w:t>...</w:t>
      </w:r>
      <w:r>
        <w:rPr>
          <w:rFonts w:hint="eastAsia" w:ascii="楷体_GB2312" w:hAnsi="黑体" w:eastAsia="楷体_GB2312"/>
          <w:color w:val="auto"/>
          <w:sz w:val="32"/>
          <w:szCs w:val="32"/>
          <w:lang w:val="en-US" w:eastAsia="zh-CN"/>
        </w:rPr>
        <w:t>15</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五</w:t>
      </w:r>
      <w:r>
        <w:rPr>
          <w:rFonts w:hint="eastAsia" w:ascii="楷体_GB2312" w:hAnsi="黑体" w:eastAsia="楷体_GB2312"/>
          <w:color w:val="auto"/>
          <w:sz w:val="32"/>
          <w:szCs w:val="32"/>
        </w:rPr>
        <w:t>、习近平：坚守党校</w:t>
      </w:r>
      <w:bookmarkStart w:id="0" w:name="_GoBack"/>
      <w:bookmarkEnd w:id="0"/>
      <w:r>
        <w:rPr>
          <w:rFonts w:hint="eastAsia" w:ascii="楷体_GB2312" w:hAnsi="黑体" w:eastAsia="楷体_GB2312"/>
          <w:color w:val="auto"/>
          <w:sz w:val="32"/>
          <w:szCs w:val="32"/>
        </w:rPr>
        <w:t>初心 努力为党育才为党献策......</w:t>
      </w:r>
      <w:r>
        <w:rPr>
          <w:rFonts w:hint="eastAsia" w:ascii="楷体_GB2312" w:hAnsi="黑体" w:eastAsia="楷体_GB2312"/>
          <w:color w:val="auto"/>
          <w:sz w:val="32"/>
          <w:szCs w:val="32"/>
          <w:lang w:val="en-US" w:eastAsia="zh-CN"/>
        </w:rPr>
        <w:t>17</w:t>
      </w:r>
    </w:p>
    <w:p>
      <w:pPr>
        <w:spacing w:line="640" w:lineRule="exact"/>
        <w:ind w:left="640" w:hanging="640" w:hangingChars="200"/>
        <w:rPr>
          <w:rFonts w:hint="eastAsia" w:ascii="楷体_GB2312" w:hAnsi="黑体" w:eastAsia="楷体_GB2312"/>
          <w:color w:val="auto"/>
          <w:sz w:val="32"/>
          <w:szCs w:val="32"/>
        </w:rPr>
        <w:sectPr>
          <w:headerReference r:id="rId3" w:type="default"/>
          <w:footerReference r:id="rId4" w:type="default"/>
          <w:pgSz w:w="11906" w:h="16838"/>
          <w:pgMar w:top="1440" w:right="1797" w:bottom="1440" w:left="1797" w:header="851" w:footer="992" w:gutter="0"/>
          <w:cols w:space="0" w:num="1"/>
          <w:docGrid w:type="lines" w:linePitch="312" w:charSpace="0"/>
        </w:sectPr>
      </w:pPr>
    </w:p>
    <w:p>
      <w:pPr>
        <w:spacing w:line="640" w:lineRule="exact"/>
        <w:jc w:val="center"/>
        <w:rPr>
          <w:rStyle w:val="10"/>
          <w:rFonts w:ascii="方正小标宋简体" w:hAnsi="方正小标宋简体" w:eastAsia="方正小标宋简体" w:cs="方正小标宋简体"/>
          <w:b w:val="0"/>
          <w:bCs w:val="0"/>
          <w:color w:val="auto"/>
          <w:kern w:val="0"/>
          <w:sz w:val="40"/>
          <w:szCs w:val="40"/>
        </w:rPr>
      </w:pPr>
      <w:r>
        <w:rPr>
          <w:rStyle w:val="10"/>
          <w:rFonts w:hint="eastAsia" w:ascii="方正小标宋简体" w:hAnsi="方正小标宋简体" w:eastAsia="方正小标宋简体" w:cs="方正小标宋简体"/>
          <w:b w:val="0"/>
          <w:bCs w:val="0"/>
          <w:color w:val="auto"/>
          <w:kern w:val="0"/>
          <w:sz w:val="40"/>
          <w:szCs w:val="40"/>
        </w:rPr>
        <w:t>当前经济工作的几个重大问题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6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明年经济工作千头万绪，需要从战略全局出发，抓主要矛盾，从改善社会心理预期、提振发展信心入手，抓住重大关键环节，纲举目张做好工作。</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（一）着力扩大国内需求</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需求不足是当前经济运行面临的突出矛盾。必须大力实施扩大内需战略，采取更加有力的措施，使社会再生产实现良性循环。我国通过扩大内需有效应对了1998年亚洲金融危机、2008年国际金融危机、2020年以来新冠肺炎疫情冲击，积累了成功经验，要优化政策举措，充分发挥消费的基础作用和投资的关键作用。</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把恢复和扩大消费摆在优先位置。我国新型工业化、信息化、城镇化、农业现代化深入推进，消费日益成为拉动经济增长的基础性力量。要增强消费能力，改善消费条件，创新消费场景，使消费潜力充分释放出来。消费是收入的函数，要多渠道增加城乡居民收入，特别是要提高消费倾向高、但受疫情影响大的中低收入居民的消费能力。要合理增加消费信贷，支持住房改善、新能源汽车、养老服务、教育医疗文化体育服务等消费。</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通过政府投资和政策激励有效带动全社会投资。当前，民间投资预期较弱，政府投资必须发挥好引导作用，这是应对经济周期性波动的有力工具。政府投资要在打基础、利长远、补短板、调结构上加大力度，加快实施“十四五”重大工程，加强交通、能源、水利、农业、信息等基础设施建设，加强区域间基础设施联通。要支持城市群和都市圈建设现代化基础设施体系，实施城市更新行动、乡村建设行动。要加大科技和产业投资，超前开展重大科技基础设施和关键核心技术研发能力建设。政策性金融要发挥逆周期调节作用，加大对符合国家发展规划和产业政策导向重大项目的融资支持力度，兼顾好经济效益和社会效益。要放宽民间投资市场准入，鼓励和吸引更多民间资本参与国家重大工程和补短板项目建设。要加强项目储备和前期工作，强化要素保障。</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继续发挥出口对经济的支撑作用。要稳住对发达国家出口，扩大对新兴经济体出口，提升加工贸易水平，提高出口附加值，扩大服务贸易，发展数字贸易，巩固拓展新能源汽车等新产业出口优势，积极扩大先进技术、重要设备、能源资源等产品进口，发挥好中欧班列作用，加快建设贸易强国。</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（二）加快建设现代化产业体系</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我们要练好内功、站稳脚跟。我国有世界最完整的产业体系和潜力最大的内需市场，要切实提升产业链供应链韧性和安全水平，抓紧补短板、锻长板。</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确保国民经济循环畅通。我国经济必须确保国家安全，确保基本民生，确保基础设施、基础产业总体正常运转。要大力提升粮食、能源资源安全保障能力，特别是要把粮食饭碗牢牢端在自己手上。要实施新一轮千亿斤粮食产能提升行动，向耕地和科技要产能，向国土资源要食物。要加强重要能源、矿产资源国内勘探开发和增储上产，统筹布局电力源网荷储，加快规划建设新型能源体系，支持企业“组团出海”，加快进口多元化。要提升国家战略物资储备保障能力。</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加快实现产业体系升级发展。要在重点领域提前布局，全面提升产业体系现代化水平，既巩固传统优势产业领先地位，又创造新的竞争优势。抓住全球产业结构和布局调整过程中孕育的新机遇，勇于开辟新领域、制胜新赛道。传统制造业是现代化产业体系的基底，要加快数字化转型，推广先进适用技术，着力提升高端化、智能化、绿色化水平。战略性新兴产业是引领未来发展的新支柱、新赛道。要加快新能源、人工智能、生物制造、绿色低碳、量子计算等前沿技术研发和应用推广，支持专精特新企业发展。要大力发展数字经济，提升常态化监管水平，支持平台企业在引领发展、创造就业、国际竞争中大显身手。</w:t>
      </w:r>
    </w:p>
    <w:p>
      <w:pPr>
        <w:adjustRightInd w:val="0"/>
        <w:snapToGrid w:val="0"/>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（三）切实落实“两个毫不动摇”</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段时间以来，社会上对我们是否还搞社会主义市场经济、是否坚持“两个毫不动摇”有一些不正确甚至错误的议论。我们必须亮明态度、决不含糊，始终坚持社会主义市场经济改革方向，坚持“两个毫不动摇”。</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深化国资国企改革，提高国企核心竞争力。国企改革三年行动已见成效，要根据形势变化，以提高核心竞争力和增强核心功能为重点，谋划新一轮深化国有企业改革行动方案。我国经营性国有资产规模大，一些企业资产收益率不高、创新能力不足，同国有资本和国有企业做强做优做大、发挥国有经济战略支撑作用的要求不相适应。要坚持分类改革方向，处理好国企经济责任和社会责任关系，健全以管资本为主的国资管理体制，发挥国有资本投资运营公司作用，以市场化方式推进国企整合重组，打造一批创新型国有企业。要完善中国特色国有企业现代公司治理，真正按市场化机制运营，加快建设世界一流企业。</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优化民营企业发展环境，促进民营经济发展壮大。民营经济对经济社会发展、就业、财政税收、科技创新等具有重要作用。要从制度和法律上把对国企民企平等对待的要求落下来，从政策和舆论上鼓励支持民营经济和民营企业发展壮大。要依法保护民营企业产权和企业家权益。要全面梳理修订涉企法律法规政策，持续破除影响平等准入的壁垒。要完善公平竞争制度，反对地方保护和行政垄断，为民营企业开辟更多空间。要加强中小微企业管理服务，支持中小微企业和个体工商户发展。各级领导干部要为民营企业解难题、办实事，构建亲清政商关系。国企、民企、外企都要依法合规经营。</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（四）更大力度吸引和利用外资</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今年我国利用外资继续保持较快增长。纵观全球，发达国家和新兴经济体都把吸引和利用外资作为重大国策，招商引资国际竞争更加激烈。我们要推进高水平对外开放，依托我国超大规模市场优势，以国内大循环吸引全球资源要素，既要把优质存量外资留下来，还要把更多高质量外资吸引过来，提升贸易投资合作质量和水平。</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扩大市场准入。要合理缩减外资准入负面清单，加大现代服务业领域开放力度，发挥好自由贸易试验区、海南自由贸易港、各类开发区和保税区等开放平台的先行先试作用，已宣布的外资准入政策要抓紧落地见效。</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全面优化营商环境。要落实好外资企业国民待遇，促进公平竞争，保障外资企业依法平等参与政府采购、招投标、标准制定，加大知识产权和外商投资合法权益的保护力度。要积极推动加入《全面与进步跨太平洋伙伴关系协定》（CPTPP）和《数字经济伙伴关系协定》（DEPA）等高标准经贸协议，并主动对照相关规则、规制、管理、标准，深化国内相关领域改革。</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三是有针对性做好外资企业服务工作。要加强同外商沟通交流，为外商来华从事贸易投资洽谈提供最大程度的便利，同时也要推动经贸人员常态化走出去招商引资。</w:t>
      </w:r>
    </w:p>
    <w:p>
      <w:pPr>
        <w:adjustRightInd w:val="0"/>
        <w:snapToGrid w:val="0"/>
        <w:spacing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（五）有效防范化解重大经济金融风险</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我们必须坚持标本兼治、远近结合，牢牢守住不发生系统性风险底线。</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防范房地产业引发系统性风险。房地产对经济增长、就业、财税收入、居民财富、金融稳定都具有重大影响。要正确处理防范系统性风险和道德风险的关系，做好风险应对各项工作，确保房地产市场平稳发展。各地区和有关部门要扛起责任。要因城施策，着力改善预期，扩大有效需求，支持刚性和改善性住房需求，支持落实生育政策和人才政策，解决好新市民、青年人等住房问题，鼓励地方政府和金融机构加大保障性租赁住房供给，探索长租房市场建设。要坚持房子是用来住的、不是用来炒的定位，深入研判房地产市场供求关系和城镇化格局等重大趋势性、结构性变化，抓紧研究中长期治本之策，消除多年来“高负债、高杠杆、高周转”发展模式弊端，推动房地产业向新发展模式平稳过渡。</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防范化解金融风险。金融事关发展全局。要统筹好防范重大金融风险和道德风险，压实各方责任，及时加以处置，防止形成区域性、系统性金融风险。要加强党中央对金融工作集中统一领导，深化金融体制改革。</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防范化解地方政府债务风险。要压实省级政府防范化解隐性债务主体责任，加大存量隐性债务处置力度，优化债务期限结构，降低利息负担，稳步推进地方政府隐性债务和法定债务合并监管，坚决遏制增量、化解存量。要禁止各种变相举债行为，防范地方国有企事业单位“平台化”。要加强对融资平台公司的综合治理，推动分类转型。要深化财税体制改革，完善财政转移支付体系，健全省以下财政体制，稳步推进地方税体系建设，夯实地方基本财力和自我发展能力。</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明年还有许多重要工作要做。要全面推进乡村振兴，稳定粮食生产，坚决防止出现规模性返贫，畅通城乡要素流动和循环，建设宜居宜业和美乡村。要围绕构建高水平社会主义市场经济体制、推进高水平对外开放，谋划新一轮全面深化改革。要筹备办好第三届“一带一路”国际合作高峰论坛，推动共建“一带一路”高质量发展。要深入实施区域重大战略和区域协调发展战略，促进优势互补、各展其长。要推动经济社会发展绿色转型，协同推进降碳、减污、扩绿、增长，创造条件加快能耗“双控”转向碳排放“双控”制度，持续深入打好蓝天、碧水、净土保卫战，建设美丽中国。</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这是习近平总书记2022年12月15日在中央经济工作会议上讲话的一部分。</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习近平在中共中央政治局第三次集体学习时强调 切实加强基础研究 夯实科技自立自强根基</w:t>
      </w: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2月21日下午就加强基础研究进行第三次集体学习。中共中央总书记习近平在主持学习时强调，加强基础研究，是实现高水平科技自立自强的迫切要求，是建设世界科技强国的必由之路。各级党委和政府要把加强基础研究纳入科技工作重要日程，加强统筹协调，加大政策支持，推动基础研究实现高质量发展。</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北京大学校长、中科院院士龚旗煌教授就这个问题作了讲解，提出工作建议。中央政治局的同志认真听取了讲解，并进行了讨论。</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在听取讲解和讨论后发表了重要讲话。他指出，党和国家历来重视基础研究工作。新中国成立后特别是改革开放以来，我国基础研究取得了重大成就。当前，新一轮科技革命和产业变革突飞猛进，学科交叉融合不断发展，科学研究范式发生深刻变革，科学技术和经济社会发展加速渗透融合，基础研究转化周期明显缩短，国际科技竞争向基础前沿前移。应对国际科技竞争、实现高水平自立自强，推动构建新发展格局、实现高质量发展，迫切需要我们加强基础研究，从源头和底层解决关键技术问题。</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强化基础研究前瞻性、战略性、系统性布局。基础研究处于从研究到应用、再到生产的科研链条起始端，地基打得牢，科技事业大厦才能建得高。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动学科交叉融合和跨学科研究，构筑全面均衡发展的高质量学科体系。</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世界已经进入大科学时代，基础研究组织化程度越来越高，制度保障和政策引导对基础研究产出的影响越来越大。必须深化基础研究体制机制改革，发挥好制度、政策的价值驱动和战略牵引作用。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要协同构建中国特色国家实验室体系，布局建设基础学科研究中心，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加强基础研究，归根结底要靠高水平人才。必须下气力打造体系化、高层次基础研究人才培养平台，让更多基础研究人才竞相涌现。要加大各类人才计划对基础研究人才支持力度，培养使用战略科学家，支持青年科技人才挑大梁、担重任，不断壮大科技领军人才队伍和一流创新团队。要完善基础研究人才差异化评价和长周期支持机制，赋予科技领军人才更大的人财物支配权和技术路线选择权，构建符合基础研究规律和人才成长规律的评价体系。要加强科研学风作风建设，引导科技人员摒弃浮夸、祛除浮躁，坐住坐稳“冷板凳”。要坚持走基础研究人才自主培养之路，深入实施“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人类要破解共同发展难题，比以往任何时候都更需要国际合作和开放共享。要构筑国际基础研究合作平台，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要努力增进国际科技界开放、信任、合作，以更多重大原始创新和关键核心技术突破为人类文明进步作出新的更大贡献，并有效维护我国的科技安全利益。</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指出，我国几代科技工作者通过接续奋斗铸就的“两弹一星”精神、西迁精神、载人航天精神、科学家精神、探月精神、新时代北斗精神等，共同塑造了中国特色创新生态，成为支撑基础研究发展的不竭动力。要在全社会大力弘扬追求真理、勇攀高峰的科学精神，广泛宣传基础研究等科技领域涌现的先进典型和事迹，教育引导广大科技工作者传承老一辈科学家以身许国、心系人民的光荣传统，把论文写在祖国的大地上。要加强国家科普能力建设，深入实施全民科学素质提升行动，线上线下多渠道传播科学知识、展示科技成就，树立热爱科学、崇尚科学的社会风尚。要在教育“双减”中做好科学教育加法，激发青少年好奇心、想象力、探求欲，培育具备科学家潜质、愿意献身科学研究事业的青少年群体。</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习近平最后强调，各级领导干部要学习科技知识、发扬科学精神，主动靠前为科技工作者排忧解难、松绑减负、加油鼓劲，把党中央关于科技创新的一系列战略部署落到实处。</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习近平对深入开展学雷锋活动作出重要指示强调 深刻把握雷锋精神的时代内涵 让雷锋精神在新时代绽放更加璀璨的光芒</w:t>
      </w: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总书记、国家主席、中央军委主席习近平近日作出重要指示指出，今年是毛泽东等老一辈革命家为雷锋同志题词60周年。60年来，学雷锋活动在全国持续深入开展，雷锋的名字家喻户晓，雷锋的事迹深入人心，雷锋精神滋养着一代代中华儿女的心灵。实践证明，无论时代如何变迁，雷锋精神永不过时。</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强调，新征程上，要深刻把握雷锋精神的时代内涵，更好发挥党员、干部模范带头作用，加强志愿服务保障和支持，不断发展壮大学雷锋志愿服务队伍，让学雷锋在人民群众特别是青少年中蔚然成风，让学雷锋活动融入日常、化作经常，让雷锋精神在新时代绽放更加璀璨的光芒，为全面建设社会主义现代化国家、全面推进中华民族伟大复兴凝聚强大力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“把雷锋精神代代传承下去——纪念毛泽东等老一辈革命家为雷锋同志题词六十周年”座谈会2月23日在京召开。会上传达了习近平的重要指示。</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中央政治局常委、中央书记处书记蔡奇出席会议并讲话。他表示，习近平总书记的重要指示，充分肯定60年来学雷锋活动的显著成效，深刻阐明雷锋精神的永恒价值，对新征程上更好弘扬雷锋精神提出明确要求。我们要深入学习领会、抓好贯彻落实，进一步开展好学雷锋活动，把雷锋精神代代传承下去，引导激励党员、干部、群众为全面建设社会主义现代化国家、全面推进中华民族伟大复兴贡献更多智慧和力量。</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蔡奇表示，毛泽东同志发出“向雷锋同志学习”号召60年来，学雷锋活动蓬勃开展、持续深入，雷锋精神广为弘扬、赓续传承，激励着一代又一代人忠诚于党、奉献祖国、服务人民。特别是党的十八大以来，习近平总书记对弘扬雷锋精神作出一系列重要论述，指导推动新时代学雷锋活动不断拓展内容、创新形式、丰富载体，涌现出一批又一批雷锋式先进集体和模范人物，为新时代伟大变革注入不竭精神动力。新征程上深化拓展学雷锋活动，要深入学习习近平总书记关于弘扬雷锋精神的重要论述，深刻把握雷锋精神的时代内涵和实践要求，引导党员、干部、群众树立崇高理想追求，践行社会主义核心价值观，激发爱党爱国爱社会主义巨大热情，更加坚定拥护“两个确立”、坚决做到“两个维护”，自觉把个人追求融入为党和人民事业奋斗中，为中国式现代化建设添砖加瓦。要在深化雷锋精神研究阐释、加强思想政治引领上下功夫，发挥党员、干部和先进典型示范带动作用，丰富拓展学雷锋活动的平台载体，推动形成齐抓共管的长效机制，使学雷锋活动更有时代感吸引力、做到常态化长效化。</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新时代党和人民奋进的必由之路</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6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这是习近平总书记2022年3月5日在参加十三届全国人大五次会议内蒙古代表团审议时的讲话要点。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习近平在中央党校建校90周年庆祝大会暨2023年春季学期开学典礼上发表重要讲话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热烈的掌声中，习近平发表重要讲话。他指出，围绕中心、服务大局，是党校事业必须始终坚持的政治站位，是践行党校初心的必然要求。必须始终坚持以党的旗帜为旗帜、以党的意志为意志、以党的使命为使命，自觉在党的新的伟大事业和党的建设新的伟大工程中精准定位，自觉为党和国家工作大局服务。必须坚持正确办学方向，始终坚持党校姓党，坚持党性原则，自觉服从服务于党的政治路线，严守党的政治纪律和政治规矩，坚持在党爱党、在党言党、在党忧党、在党为党，增强“四个意识”、坚定“四个自信”、做到“两个维护”，在思想上政治上行动上自觉同党中央保持高度一致。必须找准党校工作与党的中心任务的结合点、切入点、着力点，紧扣党之所需、发挥自身优势，做到党需要什么样的干部，党校就培养什么样的干部；党需要研究解决什么重大问题，党校就努力在那些方面建言献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强调，为党育才，是党校的独特价值所在。党校是干部教育培训的主阵地，必须在培养造就堪当民族复兴重任的执政骨干队伍上积极作为，做好新时代的传道、授业、解惑工作，传好马克思主义真理之道，授好推动改革发展稳定之业，解好改造主观世界和客观世界所遇之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指出，理论修养是领导干部综合素质的核心，理论上的成熟是政治上成熟的基础，政治上的坚定源于理论上的清醒。对领导干部来说，马克思主义这个看家本领掌握得越牢靠，政治站位就越高，政治判断力、政治领悟力、政治执行力就越强，观察时势、谋划发展、防范化解风险就越主动。党校要进一步加强马克思主义理论教育培训，重点抓好用马克思主义中国化时代化最新成果统一思想、统一意志、统一行动，坚持不懈用新时代中国特色社会主义思想凝心铸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强调，党校是领导干部锤炼党性的“大熔炉”。各级党校要把党性教育作为教学的主要内容，深入开展理想信念、党的宗旨、“四史”、革命传统、中华民族传统美德、党风廉政等教育，把党章和党规党纪学习教育作为党性教育的重要内容，引导和推动领导干部不断提高思想觉悟、精神境界、道德修养，树立正确的权力观、政绩观、事业观，保持共产党人的政治本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指出，履行好党和人民赋予的新时代职责使命，领导干部必须全面增强各方面本领，努力成为本职工作的行家里手。各级党校要紧紧围绕党中央重大决策部署，紧密结合国家重大战略需求，组织开展务实管用的专业化能力培训，重点提升领导干部推动高质量发展本领、服务群众本领、防范化解风险本领，同时加强斗争精神和斗争本领养成，着力增强防风险、攻难关、迎挑战、抗打压能力，不断提高专业化水平，更好胜任领导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强调，党校作为党的思想理论战线的重要方面军，承担着为党献策的重要职责。要做好理论研究、对策研究这个探索规律、经世致用的大学问，在党的创新理论研究阐释、推进党的理论创新、为党和政府建言献策等方面推出高质量成果。这也是党校的独特价值所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指出，党校是党的意识形态工作的重要前沿阵地，必须掌握在忠于党、忠于马克思主义的人手里。党校要宣传党的主张，有针对性地批驳各种歪理邪说，当好党的创新理论的积极宣讲者、马克思主义在意识形态领域指导地位的坚定维护者、用党的意识形态引导社会思潮的可靠排头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强调，坚守党校初心，就必须始终坚持从严治校、质量立校，遵循最严格的政治标准、学术标准、教学标准、管理标准，发挥不正之风“净化器”、党性锻炼“大熔炉”、全面从严治党“风向标”的作用。要加强党校光荣传统和优良作风教育，加强政治纪律和政治规矩教育，引导党校教师潜心治学、虔诚问道、悉心育人。各级党校要敢抓敢管、严抓严管，让学员一进党校就感受到学习之风、朴素之风、清朗之风。要把质量立校作为办学治校的生命工程，坚持高标准办学。要抓好人才队伍这个关键，大力实施人才强校战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习近平最后强调，坚持党对党校工作的全面领导，是我们党办党校的根本经验，也是推动党校事业健康发展的根本保障。要坚持全党办党校，各级党委和政府、相关职能部门要以实际行动支持党校事业发展。</w:t>
      </w:r>
    </w:p>
    <w:p>
      <w:pPr>
        <w:adjustRightInd w:val="0"/>
        <w:snapToGrid w:val="0"/>
        <w:spacing w:line="560" w:lineRule="exact"/>
        <w:jc w:val="both"/>
        <w:rPr>
          <w:rFonts w:hint="eastAsia" w:ascii="方正小标宋简体" w:hAnsi="方正小标宋简体" w:eastAsia="方正小标宋简体" w:cs="方正小标宋简体"/>
          <w:color w:val="auto"/>
          <w:sz w:val="40"/>
          <w:szCs w:val="40"/>
          <w:lang w:val="en-US" w:eastAsia="zh-CN"/>
        </w:rPr>
      </w:pPr>
    </w:p>
    <w:sectPr>
      <w:footerReference r:id="rId5"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汉仪雪君体简">
    <w:panose1 w:val="02010600000101010101"/>
    <w:charset w:val="86"/>
    <w:family w:val="auto"/>
    <w:pitch w:val="default"/>
    <w:sig w:usb0="00000001" w:usb1="080E0800" w:usb2="00000002" w:usb3="00000000" w:csb0="00040000" w:csb1="00000000"/>
  </w:font>
  <w:font w:name="方正仿宋_GB18030">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4952178"/>
    <w:rsid w:val="0F5371D2"/>
    <w:rsid w:val="15F372C8"/>
    <w:rsid w:val="468B6F9A"/>
    <w:rsid w:val="4E7B0C6B"/>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6"/>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批注框文本 Char"/>
    <w:basedOn w:val="9"/>
    <w:link w:val="4"/>
    <w:uiPriority w:val="99"/>
    <w:rPr>
      <w:kern w:val="2"/>
      <w:sz w:val="18"/>
      <w:szCs w:val="18"/>
    </w:rPr>
  </w:style>
  <w:style w:type="character" w:customStyle="1" w:styleId="17">
    <w:name w:val="日期 Char"/>
    <w:basedOn w:val="9"/>
    <w:link w:val="3"/>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9578</Words>
  <Characters>9673</Characters>
  <Lines>83</Lines>
  <Paragraphs>23</Paragraphs>
  <TotalTime>1</TotalTime>
  <ScaleCrop>false</ScaleCrop>
  <LinksUpToDate>false</LinksUpToDate>
  <CharactersWithSpaces>9720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房小猫</cp:lastModifiedBy>
  <dcterms:modified xsi:type="dcterms:W3CDTF">2023-03-30T03:21:54Z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e4657ca9acff4ad4910599ea83d52e99</vt:lpwstr>
  </property>
</Properties>
</file>