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D01BAA">
      <w:pPr>
        <w:jc w:val="center"/>
        <w:rPr>
          <w:rFonts w:ascii="黑体" w:hAnsi="黑体" w:eastAsia="黑体"/>
          <w:color w:val="auto"/>
          <w:sz w:val="52"/>
          <w:szCs w:val="52"/>
        </w:rPr>
      </w:pPr>
      <w:r>
        <w:rPr>
          <w:rFonts w:hint="eastAsia" w:ascii="黑体" w:hAnsi="黑体" w:eastAsia="黑体"/>
          <w:color w:val="auto"/>
          <w:sz w:val="52"/>
          <w:szCs w:val="52"/>
        </w:rPr>
        <w:t>教职工理论学习参考资料</w:t>
      </w:r>
    </w:p>
    <w:p w14:paraId="486AD58E">
      <w:pPr>
        <w:jc w:val="center"/>
        <w:rPr>
          <w:rFonts w:hint="eastAsia" w:ascii="黑体" w:hAnsi="黑体" w:eastAsia="黑体"/>
          <w:color w:val="auto"/>
          <w:sz w:val="24"/>
          <w:szCs w:val="24"/>
        </w:rPr>
      </w:pPr>
      <w:r>
        <w:rPr>
          <w:rFonts w:hint="eastAsia" w:ascii="黑体" w:hAnsi="黑体" w:eastAsia="黑体"/>
          <w:color w:val="auto"/>
          <w:sz w:val="24"/>
          <w:szCs w:val="24"/>
        </w:rPr>
        <w:t>（202</w:t>
      </w:r>
      <w:r>
        <w:rPr>
          <w:rFonts w:hint="eastAsia" w:ascii="黑体" w:hAnsi="黑体" w:eastAsia="黑体"/>
          <w:color w:val="auto"/>
          <w:sz w:val="24"/>
          <w:szCs w:val="24"/>
          <w:lang w:val="en-US" w:eastAsia="zh-CN"/>
        </w:rPr>
        <w:t>6</w:t>
      </w:r>
      <w:r>
        <w:rPr>
          <w:rFonts w:hint="eastAsia" w:ascii="黑体" w:hAnsi="黑体" w:eastAsia="黑体"/>
          <w:color w:val="auto"/>
          <w:sz w:val="24"/>
          <w:szCs w:val="24"/>
        </w:rPr>
        <w:t>第</w:t>
      </w:r>
      <w:r>
        <w:rPr>
          <w:rFonts w:hint="eastAsia" w:ascii="黑体" w:hAnsi="黑体" w:eastAsia="黑体"/>
          <w:color w:val="auto"/>
          <w:sz w:val="24"/>
          <w:szCs w:val="24"/>
          <w:lang w:val="en-US" w:eastAsia="zh-CN"/>
        </w:rPr>
        <w:t>9</w:t>
      </w:r>
      <w:r>
        <w:rPr>
          <w:rFonts w:hint="eastAsia" w:ascii="黑体" w:hAnsi="黑体" w:eastAsia="黑体"/>
          <w:color w:val="auto"/>
          <w:sz w:val="24"/>
          <w:szCs w:val="24"/>
        </w:rPr>
        <w:t>期）</w:t>
      </w:r>
    </w:p>
    <w:p w14:paraId="2C6F1265">
      <w:pPr>
        <w:ind w:firstLine="240" w:firstLineChars="100"/>
        <w:jc w:val="left"/>
        <w:rPr>
          <w:rFonts w:hint="eastAsia" w:ascii="黑体" w:hAnsi="黑体" w:eastAsia="黑体"/>
          <w:color w:val="auto"/>
          <w:sz w:val="24"/>
          <w:szCs w:val="24"/>
          <w:highlight w:val="yellow"/>
          <w:lang w:val="en-US" w:eastAsia="zh-CN"/>
        </w:rPr>
      </w:pPr>
      <w:r>
        <w:rPr>
          <w:rFonts w:hint="eastAsia" w:ascii="黑体" w:hAnsi="黑体" w:eastAsia="黑体"/>
          <w:color w:val="auto"/>
          <w:sz w:val="24"/>
          <w:szCs w:val="24"/>
        </w:rPr>
        <w:t>泰山学院党委宣传部编</w:t>
      </w:r>
      <w:r>
        <w:rPr>
          <w:rFonts w:hint="eastAsia" w:ascii="黑体" w:hAnsi="黑体" w:eastAsia="黑体"/>
          <w:color w:val="auto"/>
          <w:sz w:val="24"/>
          <w:szCs w:val="24"/>
          <w:lang w:val="en-US" w:eastAsia="zh-CN"/>
        </w:rPr>
        <w:t xml:space="preserve">                                </w:t>
      </w:r>
      <w:r>
        <w:rPr>
          <w:rFonts w:hint="eastAsia" w:ascii="黑体" w:hAnsi="黑体" w:eastAsia="黑体"/>
          <w:color w:val="auto"/>
          <w:sz w:val="24"/>
          <w:szCs w:val="24"/>
        </w:rPr>
        <w:t>202</w:t>
      </w:r>
      <w:r>
        <w:rPr>
          <w:rFonts w:hint="eastAsia" w:ascii="黑体" w:hAnsi="黑体" w:eastAsia="黑体"/>
          <w:color w:val="auto"/>
          <w:sz w:val="24"/>
          <w:szCs w:val="24"/>
          <w:lang w:val="en-US" w:eastAsia="zh-CN"/>
        </w:rPr>
        <w:t>6年</w:t>
      </w:r>
      <w:r>
        <w:rPr>
          <w:rFonts w:hint="eastAsia" w:ascii="黑体" w:hAnsi="黑体" w:eastAsia="黑体"/>
          <w:color w:val="auto"/>
          <w:sz w:val="24"/>
          <w:szCs w:val="24"/>
          <w:highlight w:val="none"/>
          <w:lang w:val="en-US" w:eastAsia="zh-CN"/>
        </w:rPr>
        <w:t>9月20日</w:t>
      </w:r>
    </w:p>
    <w:p w14:paraId="624DAB89">
      <w:pPr>
        <w:ind w:firstLine="240" w:firstLineChars="100"/>
        <w:jc w:val="left"/>
        <w:rPr>
          <w:rFonts w:hint="eastAsia" w:ascii="黑体" w:hAnsi="黑体" w:eastAsia="黑体"/>
          <w:color w:val="auto"/>
          <w:sz w:val="24"/>
          <w:szCs w:val="24"/>
        </w:rPr>
      </w:pPr>
      <w:r>
        <w:rPr>
          <w:rFonts w:hint="eastAsia" w:ascii="黑体" w:hAnsi="黑体" w:eastAsia="黑体"/>
          <w:color w:val="auto"/>
          <w:sz w:val="24"/>
          <w:szCs w:val="24"/>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146685</wp:posOffset>
                </wp:positionV>
                <wp:extent cx="5534025" cy="0"/>
                <wp:effectExtent l="0" t="4445" r="0" b="5080"/>
                <wp:wrapNone/>
                <wp:docPr id="1" name="1027"/>
                <wp:cNvGraphicFramePr/>
                <a:graphic xmlns:a="http://schemas.openxmlformats.org/drawingml/2006/main">
                  <a:graphicData uri="http://schemas.microsoft.com/office/word/2010/wordprocessingShape">
                    <wps:wsp>
                      <wps:cNvCnPr/>
                      <wps:spPr>
                        <a:xfrm>
                          <a:off x="0" y="0"/>
                          <a:ext cx="55340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1027" o:spid="_x0000_s1026" o:spt="32" type="#_x0000_t32" style="position:absolute;left:0pt;margin-left:-4.5pt;margin-top:11.55pt;height:0pt;width:435.75pt;z-index:251659264;mso-width-relative:page;mso-height-relative:page;" filled="f" stroked="t" coordsize="21600,21600" o:gfxdata="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u5gbN1wAAAAgBAAAPAAAAAAAA&#10;AAEAIAAAACIAAABkcnMvZG93bnJldi54bWxQSwECFAAUAAAACACHTuJAa5rjItoBAADZAwAADgAA&#10;AAAAAAABACAAAAAmAQAAZHJzL2Uyb0RvYy54bWxQSwUGAAAAAAYABgBZAQAAcgUAAAAA&#10;">
                <v:fill on="f" focussize="0,0"/>
                <v:stroke color="#000000" joinstyle="round"/>
                <v:imagedata o:title=""/>
                <o:lock v:ext="edit" aspectratio="f"/>
              </v:shape>
            </w:pict>
          </mc:Fallback>
        </mc:AlternateContent>
      </w:r>
    </w:p>
    <w:p w14:paraId="046F09BF">
      <w:pPr>
        <w:numPr>
          <w:ilvl w:val="0"/>
          <w:numId w:val="1"/>
        </w:numPr>
        <w:rPr>
          <w:rFonts w:ascii="黑体" w:hAnsi="黑体" w:eastAsia="黑体"/>
          <w:color w:val="auto"/>
          <w:sz w:val="30"/>
          <w:szCs w:val="30"/>
        </w:rPr>
      </w:pPr>
      <w:r>
        <w:rPr>
          <w:rFonts w:hint="eastAsia" w:ascii="黑体" w:hAnsi="黑体" w:eastAsia="黑体"/>
          <w:color w:val="auto"/>
          <w:sz w:val="30"/>
          <w:szCs w:val="30"/>
        </w:rPr>
        <w:t>学习内容</w:t>
      </w:r>
    </w:p>
    <w:p w14:paraId="23711FB3">
      <w:pPr>
        <w:widowControl w:val="0"/>
        <w:numPr>
          <w:ilvl w:val="0"/>
          <w:numId w:val="0"/>
        </w:numPr>
        <w:jc w:val="both"/>
        <w:rPr>
          <w:rFonts w:hint="eastAsia" w:ascii="黑体" w:hAnsi="黑体" w:eastAsia="黑体"/>
          <w:color w:val="auto"/>
          <w:sz w:val="30"/>
          <w:szCs w:val="30"/>
        </w:rPr>
      </w:pPr>
    </w:p>
    <w:p w14:paraId="5D7A2FCD">
      <w:pPr>
        <w:widowControl w:val="0"/>
        <w:numPr>
          <w:ilvl w:val="0"/>
          <w:numId w:val="0"/>
        </w:numPr>
        <w:jc w:val="both"/>
        <w:rPr>
          <w:rFonts w:hint="eastAsia" w:ascii="黑体" w:hAnsi="黑体" w:eastAsia="黑体"/>
          <w:color w:val="auto"/>
          <w:sz w:val="30"/>
          <w:szCs w:val="30"/>
        </w:rPr>
      </w:pPr>
    </w:p>
    <w:p w14:paraId="2530853F">
      <w:pPr>
        <w:widowControl w:val="0"/>
        <w:numPr>
          <w:ilvl w:val="0"/>
          <w:numId w:val="0"/>
        </w:numPr>
        <w:jc w:val="both"/>
        <w:rPr>
          <w:rFonts w:hint="eastAsia" w:ascii="黑体" w:hAnsi="黑体" w:eastAsia="黑体"/>
          <w:color w:val="auto"/>
          <w:sz w:val="30"/>
          <w:szCs w:val="30"/>
        </w:rPr>
      </w:pPr>
    </w:p>
    <w:p w14:paraId="6236F08A">
      <w:pPr>
        <w:widowControl w:val="0"/>
        <w:numPr>
          <w:ilvl w:val="0"/>
          <w:numId w:val="0"/>
        </w:numPr>
        <w:jc w:val="both"/>
        <w:rPr>
          <w:rFonts w:hint="eastAsia" w:ascii="黑体" w:hAnsi="黑体" w:eastAsia="黑体"/>
          <w:color w:val="auto"/>
          <w:sz w:val="30"/>
          <w:szCs w:val="30"/>
        </w:rPr>
      </w:pPr>
      <w:bookmarkStart w:id="0" w:name="_GoBack"/>
      <w:bookmarkEnd w:id="0"/>
    </w:p>
    <w:p w14:paraId="094E65E4">
      <w:pPr>
        <w:widowControl w:val="0"/>
        <w:numPr>
          <w:ilvl w:val="0"/>
          <w:numId w:val="0"/>
        </w:numPr>
        <w:jc w:val="both"/>
        <w:rPr>
          <w:rFonts w:hint="eastAsia" w:ascii="黑体" w:hAnsi="黑体" w:eastAsia="黑体"/>
          <w:color w:val="auto"/>
          <w:sz w:val="30"/>
          <w:szCs w:val="30"/>
        </w:rPr>
      </w:pPr>
    </w:p>
    <w:p w14:paraId="2C878A34">
      <w:pPr>
        <w:keepNext w:val="0"/>
        <w:keepLines w:val="0"/>
        <w:pageBreakBefore w:val="0"/>
        <w:widowControl w:val="0"/>
        <w:numPr>
          <w:ilvl w:val="0"/>
          <w:numId w:val="2"/>
        </w:numPr>
        <w:kinsoku/>
        <w:wordWrap/>
        <w:overflowPunct/>
        <w:topLinePunct w:val="0"/>
        <w:autoSpaceDE/>
        <w:autoSpaceDN/>
        <w:bidi w:val="0"/>
        <w:adjustRightInd/>
        <w:snapToGrid/>
        <w:spacing w:line="640" w:lineRule="exact"/>
        <w:ind w:left="0" w:hanging="640" w:hangingChars="200"/>
        <w:textAlignment w:val="auto"/>
        <w:rPr>
          <w:rFonts w:hint="eastAsia" w:ascii="楷体_GB2312" w:hAnsi="黑体" w:eastAsia="楷体_GB2312"/>
          <w:color w:val="auto"/>
          <w:sz w:val="32"/>
          <w:szCs w:val="32"/>
          <w:lang w:val="en-US" w:eastAsia="zh-CN"/>
        </w:rPr>
      </w:pPr>
      <w:r>
        <w:rPr>
          <w:rFonts w:hint="eastAsia" w:ascii="楷体_GB2312" w:hAnsi="黑体" w:eastAsia="楷体_GB2312"/>
          <w:color w:val="auto"/>
          <w:sz w:val="32"/>
          <w:szCs w:val="32"/>
          <w:highlight w:val="none"/>
          <w:lang w:val="en-US" w:eastAsia="zh-CN"/>
        </w:rPr>
        <w:t>习近平作出重要指示强调 巩固拓展树立和践行正确绩观学习教育成果 努力创造经得起实践人民历史检验的实绩..</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..........1</w:t>
      </w:r>
    </w:p>
    <w:p w14:paraId="04663521">
      <w:pPr>
        <w:keepNext w:val="0"/>
        <w:keepLines w:val="0"/>
        <w:pageBreakBefore w:val="0"/>
        <w:widowControl w:val="0"/>
        <w:numPr>
          <w:ilvl w:val="0"/>
          <w:numId w:val="2"/>
        </w:numPr>
        <w:kinsoku/>
        <w:wordWrap/>
        <w:overflowPunct/>
        <w:topLinePunct w:val="0"/>
        <w:autoSpaceDE/>
        <w:autoSpaceDN/>
        <w:bidi w:val="0"/>
        <w:adjustRightInd/>
        <w:snapToGrid/>
        <w:spacing w:line="640" w:lineRule="exact"/>
        <w:ind w:left="0" w:hanging="640" w:hangingChars="200"/>
        <w:textAlignment w:val="auto"/>
        <w:rPr>
          <w:rFonts w:hint="eastAsia" w:ascii="楷体_GB2312" w:hAnsi="黑体" w:eastAsia="楷体_GB2312"/>
          <w:color w:val="auto"/>
          <w:sz w:val="32"/>
          <w:szCs w:val="32"/>
          <w:lang w:val="en-US" w:eastAsia="zh-CN"/>
        </w:rPr>
      </w:pPr>
      <w:r>
        <w:rPr>
          <w:rFonts w:hint="eastAsia" w:ascii="楷体_GB2312" w:hAnsi="黑体" w:eastAsia="楷体_GB2312"/>
          <w:color w:val="auto"/>
          <w:sz w:val="32"/>
          <w:szCs w:val="32"/>
          <w:lang w:val="en-US" w:eastAsia="zh-CN"/>
        </w:rPr>
        <w:t>习近平对西藏日喀则市吉隆县遭受泥石流灾害作出重要指示</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........4</w:t>
      </w:r>
    </w:p>
    <w:p w14:paraId="043C4851">
      <w:pPr>
        <w:keepNext w:val="0"/>
        <w:keepLines w:val="0"/>
        <w:pageBreakBefore w:val="0"/>
        <w:widowControl w:val="0"/>
        <w:numPr>
          <w:ilvl w:val="0"/>
          <w:numId w:val="2"/>
        </w:numPr>
        <w:kinsoku/>
        <w:wordWrap/>
        <w:overflowPunct/>
        <w:topLinePunct w:val="0"/>
        <w:autoSpaceDE/>
        <w:autoSpaceDN/>
        <w:bidi w:val="0"/>
        <w:adjustRightInd/>
        <w:snapToGrid/>
        <w:spacing w:line="640" w:lineRule="exact"/>
        <w:ind w:left="640" w:leftChars="0" w:hanging="640" w:hangingChars="200"/>
        <w:textAlignment w:val="auto"/>
        <w:rPr>
          <w:rFonts w:hint="eastAsia" w:ascii="楷体_GB2312" w:hAnsi="黑体" w:eastAsia="楷体_GB2312"/>
          <w:color w:val="auto"/>
          <w:sz w:val="32"/>
          <w:szCs w:val="32"/>
          <w:highlight w:val="none"/>
          <w:lang w:val="en-US" w:eastAsia="zh-CN"/>
        </w:rPr>
      </w:pPr>
      <w:r>
        <w:rPr>
          <w:rFonts w:hint="eastAsia" w:ascii="楷体_GB2312" w:hAnsi="黑体" w:eastAsia="楷体_GB2312"/>
          <w:color w:val="auto"/>
          <w:sz w:val="32"/>
          <w:szCs w:val="32"/>
          <w:lang w:val="en-US" w:eastAsia="zh-CN"/>
        </w:rPr>
        <w:t>习近平：坚持落实管党治党政治责任</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w:t>
      </w:r>
      <w:r>
        <w:rPr>
          <w:rFonts w:hint="eastAsia" w:ascii="楷体_GB2312" w:hAnsi="黑体" w:eastAsia="楷体_GB2312"/>
          <w:color w:val="auto"/>
          <w:sz w:val="32"/>
          <w:szCs w:val="32"/>
          <w:lang w:val="en-US" w:eastAsia="zh-CN"/>
        </w:rPr>
        <w:t>....</w:t>
      </w:r>
      <w:r>
        <w:rPr>
          <w:rFonts w:hint="eastAsia" w:ascii="楷体_GB2312" w:hAnsi="黑体" w:eastAsia="楷体_GB2312"/>
          <w:color w:val="auto"/>
          <w:sz w:val="32"/>
          <w:szCs w:val="32"/>
          <w:highlight w:val="none"/>
          <w:lang w:val="en-US" w:eastAsia="zh-CN"/>
        </w:rPr>
        <w:t>6</w:t>
      </w:r>
    </w:p>
    <w:p w14:paraId="534ABCE6">
      <w:pPr>
        <w:keepNext w:val="0"/>
        <w:keepLines w:val="0"/>
        <w:pageBreakBefore w:val="0"/>
        <w:widowControl w:val="0"/>
        <w:numPr>
          <w:ilvl w:val="0"/>
          <w:numId w:val="2"/>
        </w:numPr>
        <w:kinsoku/>
        <w:wordWrap/>
        <w:overflowPunct/>
        <w:topLinePunct w:val="0"/>
        <w:autoSpaceDE/>
        <w:autoSpaceDN/>
        <w:bidi w:val="0"/>
        <w:adjustRightInd/>
        <w:snapToGrid/>
        <w:spacing w:line="640" w:lineRule="exact"/>
        <w:ind w:left="640" w:leftChars="0" w:hanging="640" w:hangingChars="200"/>
        <w:textAlignment w:val="auto"/>
        <w:rPr>
          <w:rFonts w:hint="eastAsia" w:ascii="楷体_GB2312" w:hAnsi="黑体" w:eastAsia="楷体_GB2312"/>
          <w:color w:val="auto"/>
          <w:sz w:val="32"/>
          <w:szCs w:val="32"/>
          <w:highlight w:val="none"/>
          <w:lang w:val="en-US" w:eastAsia="zh-CN"/>
        </w:rPr>
      </w:pPr>
      <w:r>
        <w:rPr>
          <w:rFonts w:hint="eastAsia" w:ascii="楷体_GB2312" w:hAnsi="黑体" w:eastAsia="楷体_GB2312"/>
          <w:color w:val="auto"/>
          <w:sz w:val="32"/>
          <w:szCs w:val="32"/>
          <w:highlight w:val="none"/>
          <w:lang w:val="en-US" w:eastAsia="zh-CN"/>
        </w:rPr>
        <w:t>在第四十二个教师节到来之际习近平向全国广大教师和教育工作者致以节日祝贺和诚挚问候...........16</w:t>
      </w:r>
    </w:p>
    <w:p w14:paraId="5EC51F46">
      <w:pPr>
        <w:keepNext w:val="0"/>
        <w:keepLines w:val="0"/>
        <w:pageBreakBefore w:val="0"/>
        <w:widowControl w:val="0"/>
        <w:numPr>
          <w:ilvl w:val="0"/>
          <w:numId w:val="2"/>
        </w:numPr>
        <w:kinsoku/>
        <w:wordWrap/>
        <w:overflowPunct/>
        <w:topLinePunct w:val="0"/>
        <w:autoSpaceDE/>
        <w:autoSpaceDN/>
        <w:bidi w:val="0"/>
        <w:adjustRightInd/>
        <w:snapToGrid/>
        <w:spacing w:line="640" w:lineRule="exact"/>
        <w:ind w:left="640" w:leftChars="0" w:hanging="640" w:hangingChars="200"/>
        <w:textAlignment w:val="auto"/>
        <w:rPr>
          <w:rFonts w:hint="eastAsia" w:ascii="楷体_GB2312" w:hAnsi="黑体" w:eastAsia="楷体_GB2312"/>
          <w:color w:val="auto"/>
          <w:sz w:val="32"/>
          <w:szCs w:val="32"/>
          <w:highlight w:val="none"/>
          <w:lang w:val="en-US" w:eastAsia="zh-CN"/>
        </w:rPr>
      </w:pPr>
      <w:r>
        <w:rPr>
          <w:rFonts w:hint="eastAsia" w:ascii="楷体_GB2312" w:hAnsi="黑体" w:eastAsia="楷体_GB2312"/>
          <w:color w:val="auto"/>
          <w:sz w:val="32"/>
          <w:szCs w:val="32"/>
          <w:highlight w:val="none"/>
          <w:lang w:val="en-US" w:eastAsia="zh-CN"/>
        </w:rPr>
        <w:t>习近平：在加强基础研究座谈会上的讲话.........17</w:t>
      </w:r>
    </w:p>
    <w:p w14:paraId="0E46F4B1">
      <w:pPr>
        <w:keepNext w:val="0"/>
        <w:keepLines w:val="0"/>
        <w:pageBreakBefore w:val="0"/>
        <w:widowControl w:val="0"/>
        <w:numPr>
          <w:ilvl w:val="0"/>
          <w:numId w:val="2"/>
        </w:numPr>
        <w:kinsoku/>
        <w:wordWrap/>
        <w:overflowPunct/>
        <w:topLinePunct w:val="0"/>
        <w:autoSpaceDE/>
        <w:autoSpaceDN/>
        <w:bidi w:val="0"/>
        <w:adjustRightInd/>
        <w:snapToGrid/>
        <w:spacing w:line="640" w:lineRule="exact"/>
        <w:ind w:left="640" w:leftChars="0" w:hanging="640" w:hangingChars="200"/>
        <w:textAlignment w:val="auto"/>
        <w:rPr>
          <w:rFonts w:hint="eastAsia" w:ascii="楷体_GB2312" w:hAnsi="黑体" w:eastAsia="楷体_GB2312"/>
          <w:color w:val="auto"/>
          <w:sz w:val="32"/>
          <w:szCs w:val="32"/>
          <w:highlight w:val="none"/>
          <w:lang w:val="en-US" w:eastAsia="zh-CN"/>
        </w:rPr>
      </w:pPr>
      <w:r>
        <w:rPr>
          <w:rFonts w:hint="eastAsia" w:ascii="楷体_GB2312" w:hAnsi="黑体" w:eastAsia="楷体_GB2312"/>
          <w:color w:val="auto"/>
          <w:sz w:val="32"/>
          <w:szCs w:val="32"/>
          <w:highlight w:val="none"/>
          <w:lang w:val="en-US" w:eastAsia="zh-CN"/>
        </w:rPr>
        <w:t>习近平致吉林大学建校80周年的贺信............22</w:t>
      </w:r>
    </w:p>
    <w:p w14:paraId="5DEA67FF">
      <w:pPr>
        <w:spacing w:line="640" w:lineRule="exact"/>
        <w:rPr>
          <w:rFonts w:hint="default" w:ascii="楷体_GB2312" w:hAnsi="黑体" w:eastAsia="楷体_GB2312"/>
          <w:color w:val="auto"/>
          <w:sz w:val="32"/>
          <w:szCs w:val="32"/>
          <w:highlight w:val="none"/>
          <w:lang w:val="en-US" w:eastAsia="zh-CN"/>
        </w:rPr>
      </w:pPr>
    </w:p>
    <w:p w14:paraId="699E1848">
      <w:pPr>
        <w:adjustRightInd w:val="0"/>
        <w:snapToGrid w:val="0"/>
        <w:spacing w:line="640" w:lineRule="exact"/>
        <w:jc w:val="center"/>
        <w:rPr>
          <w:rFonts w:hint="eastAsia" w:ascii="方正小标宋简体" w:hAnsi="方正小标宋简体" w:eastAsia="方正小标宋简体" w:cs="方正小标宋简体"/>
          <w:color w:val="auto"/>
          <w:sz w:val="44"/>
          <w:szCs w:val="44"/>
          <w:lang w:val="zh-CN"/>
        </w:rPr>
      </w:pPr>
    </w:p>
    <w:p w14:paraId="0225CCB8">
      <w:pPr>
        <w:adjustRightInd w:val="0"/>
        <w:snapToGrid w:val="0"/>
        <w:spacing w:line="640" w:lineRule="exact"/>
        <w:jc w:val="both"/>
        <w:rPr>
          <w:rFonts w:hint="eastAsia" w:ascii="方正小标宋简体" w:hAnsi="方正小标宋简体" w:eastAsia="方正小标宋简体" w:cs="方正小标宋简体"/>
          <w:color w:val="auto"/>
          <w:sz w:val="44"/>
          <w:szCs w:val="44"/>
          <w:lang w:val="zh-CN"/>
        </w:rPr>
      </w:pPr>
    </w:p>
    <w:p w14:paraId="1D69C2A6">
      <w:pPr>
        <w:adjustRightInd w:val="0"/>
        <w:snapToGrid w:val="0"/>
        <w:spacing w:line="640" w:lineRule="exact"/>
        <w:jc w:val="center"/>
        <w:rPr>
          <w:rFonts w:hint="eastAsia" w:ascii="方正小标宋简体" w:hAnsi="方正小标宋简体" w:eastAsia="方正小标宋简体" w:cs="方正小标宋简体"/>
          <w:color w:val="auto"/>
          <w:sz w:val="44"/>
          <w:szCs w:val="44"/>
          <w:lang w:val="zh-CN"/>
        </w:rPr>
        <w:sectPr>
          <w:headerReference r:id="rId3" w:type="default"/>
          <w:pgSz w:w="11906" w:h="16838"/>
          <w:pgMar w:top="1440" w:right="1800" w:bottom="1440" w:left="1800" w:header="851" w:footer="992" w:gutter="0"/>
          <w:pgNumType w:start="1"/>
          <w:cols w:space="425" w:num="1"/>
          <w:docGrid w:type="lines" w:linePitch="312" w:charSpace="0"/>
        </w:sectPr>
      </w:pPr>
    </w:p>
    <w:p w14:paraId="3A8B6948">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r>
        <w:rPr>
          <w:rFonts w:hint="eastAsia" w:ascii="方正小标宋简体" w:hAnsi="方正小标宋简体" w:eastAsia="方正小标宋简体" w:cs="方正小标宋简体"/>
          <w:sz w:val="44"/>
          <w:szCs w:val="44"/>
          <w:lang w:val="zh-CN"/>
        </w:rPr>
        <w:t xml:space="preserve">习近平作出重要指示强调 </w:t>
      </w:r>
    </w:p>
    <w:p w14:paraId="786CFE11">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r>
        <w:rPr>
          <w:rFonts w:hint="eastAsia" w:ascii="方正小标宋简体" w:hAnsi="方正小标宋简体" w:eastAsia="方正小标宋简体" w:cs="方正小标宋简体"/>
          <w:sz w:val="44"/>
          <w:szCs w:val="44"/>
          <w:lang w:val="zh-CN"/>
        </w:rPr>
        <w:t>巩固拓展树立和践行正确政绩观学习教育成果 努力创造经得起实践人民历史检验的实绩</w:t>
      </w:r>
    </w:p>
    <w:p w14:paraId="6F988DF8">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6D690A4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中共中央总书记、国家主席、中央军委主席习近平近日作出重要指示强调，树立和践行正确政绩观是一项长期任务，必须久久为功，不断巩固拓展学习教育成果，持续推动各级党组织和广大党员、干部立党为公、为民造福、科学决策、真抓实干，努力创造经得起实践、人民、历史检验的实绩。</w:t>
      </w:r>
    </w:p>
    <w:p w14:paraId="30A60D0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习近平指出，党的十八大以来，针对一个时期党的建设中的重要问题、紧迫问题，在全党组织开展学习教育活动，已经成为党的建设一项重要制度性安排。这次树立和践行正确政绩观学习教育在党中央坚强领导下，坚持把理论学习贯穿始终，真查实改政绩观偏差问题，着眼务实管用立好制度规矩，以严实作风一抓到底，取得明显成效，达到了预期目的。</w:t>
      </w:r>
    </w:p>
    <w:p w14:paraId="5939466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习近平强调，要经常性开展政绩观教育，重点抓好对地方党政正职、新提拔干部、年轻干部、关键岗位干部的教育培训，强化示范引领和反面警示，引导党员、干部始终以正确政绩观担当作为、履职尽责。要坚持常态化查改问题，对需要长期整改的政绩观偏差突出问题盯紧不放、跟踪问效，深化新官不理旧账整改整治。结合巡视巡察、审计监督、统计监督等精准发现问题，增强针对性和穿透力，扎实推动整改。要用好考核指挥棒，完善差异化考核评价体系，树立重实干重实绩的选人用人导向，让敢于负责、勇于担当、善于作为、实绩突出的干部受到重用。要加强政绩观行为的管理监督，严格执行民主集中制，对领导干部定期谈话提醒，及时发现并纠正苗头性倾向性问题。</w:t>
      </w:r>
    </w:p>
    <w:p w14:paraId="7A444DE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中央党的建设工作领导小组8月24日召开会议，深入学习贯彻习近平总书记重要指示精神，总结树立和践行正确政绩观学习教育，研究部署巩固拓展学习教育成果、建立树立和践行正确政绩观长效机制工作。中共中央政治局常委、中央党的建设工作领导小组组长蔡奇主持会议并讲话，中共中央政治局常委、中央党的建设工作领导小组副组长李希出席会议并讲话。</w:t>
      </w:r>
    </w:p>
    <w:p w14:paraId="597543C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会议强调，习近平总书记的重要指示，对学习教育工作和成效给予充分肯定，对巩固拓展学习教育成果、建立树立和践行正确政绩观长效机制提出明确要求，全党要认真学习领会、全面贯彻落实。</w:t>
      </w:r>
    </w:p>
    <w:p w14:paraId="360AC3C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会议指出，这次学习教育目前已基本结束。在以习近平同志为核心的党中央坚强领导下，各级党组织扛牢责任，一体推进学查改，推动广大党员、干部深化了对正确政绩观的认识和理解，有效解决了一批政绩观偏差突出问题，实实在在加强了党性锻炼，进一步规范了各级领导干部从政行为，为地方各级领导班子换届打下了良好思想政治基础，有力促进了“十五五”开局起步各项工作。这次学习教育坚持守正创新、简约务实，丰富了思想引领、真查实改、以上率下、标本兼治、服务中心等经验，进一步深化了对党内集中教育的规律性认识。</w:t>
      </w:r>
    </w:p>
    <w:p w14:paraId="7CA0EAC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会议强调，这次学习教育不是终点而是新的起点。要坚持不懈强化党的创新理论武装，深入学习贯彻习近平党建思想和习近平总书记重要指示精神，巩固拓展学习教育成果，建立长效机制。要持续推进政绩观教育，经常性查改政绩观偏差问题，树立重实干重实绩的用人导向，推动党员、干部不断增强树立和践行正确政绩观的思想自觉和行动自觉。要加强日常管理监督，防止任性用权，抓典型抓现行抓通报，保持强力震慑。要压实政治责任，抓好学习教育“回头看”，强化督促检查，有效传导压力，层层推动落实。</w:t>
      </w:r>
    </w:p>
    <w:p w14:paraId="7CCB90B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石泰峰、李书磊、穆虹出席会议。</w:t>
      </w:r>
    </w:p>
    <w:p w14:paraId="2DB2A9F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中央党的建设工作领导小组成员等参加会议。</w:t>
      </w:r>
    </w:p>
    <w:p w14:paraId="5D5BA069">
      <w:pPr>
        <w:keepNext w:val="0"/>
        <w:keepLines w:val="0"/>
        <w:pageBreakBefore w:val="0"/>
        <w:widowControl w:val="0"/>
        <w:kinsoku/>
        <w:wordWrap/>
        <w:overflowPunct/>
        <w:topLinePunct w:val="0"/>
        <w:autoSpaceDE/>
        <w:autoSpaceDN/>
        <w:bidi w:val="0"/>
        <w:adjustRightInd w:val="0"/>
        <w:snapToGrid w:val="0"/>
        <w:spacing w:line="600" w:lineRule="exact"/>
        <w:ind w:firstLine="880"/>
        <w:jc w:val="center"/>
        <w:textAlignment w:val="auto"/>
        <w:rPr>
          <w:rFonts w:hint="eastAsia" w:ascii="方正小标宋简体" w:hAnsi="方正小标宋简体" w:eastAsia="方正小标宋简体" w:cs="方正小标宋简体"/>
          <w:sz w:val="44"/>
          <w:szCs w:val="44"/>
          <w:lang w:val="zh-CN"/>
        </w:rPr>
      </w:pPr>
    </w:p>
    <w:p w14:paraId="2BC57CCF">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28036464">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715C9B80">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1356138B">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7AC1CB81">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18879E17">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48237FE7">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706D9530">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4315984D">
      <w:pPr>
        <w:keepNext w:val="0"/>
        <w:keepLines w:val="0"/>
        <w:pageBreakBefore w:val="0"/>
        <w:widowControl w:val="0"/>
        <w:kinsoku/>
        <w:wordWrap/>
        <w:overflowPunct/>
        <w:topLinePunct w:val="0"/>
        <w:autoSpaceDE/>
        <w:autoSpaceDN/>
        <w:bidi w:val="0"/>
        <w:adjustRightInd w:val="0"/>
        <w:snapToGrid w:val="0"/>
        <w:spacing w:line="600" w:lineRule="exact"/>
        <w:jc w:val="both"/>
        <w:textAlignment w:val="auto"/>
        <w:rPr>
          <w:rFonts w:hint="eastAsia" w:ascii="方正小标宋简体" w:hAnsi="方正小标宋简体" w:eastAsia="方正小标宋简体" w:cs="方正小标宋简体"/>
          <w:sz w:val="44"/>
          <w:szCs w:val="44"/>
          <w:lang w:val="zh-CN"/>
        </w:rPr>
      </w:pPr>
    </w:p>
    <w:p w14:paraId="5DE32113">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44"/>
          <w:szCs w:val="44"/>
          <w:lang w:val="zh-CN"/>
        </w:rPr>
      </w:pPr>
      <w:r>
        <w:rPr>
          <w:rFonts w:hint="eastAsia" w:ascii="方正小标宋简体" w:hAnsi="方正小标宋简体" w:eastAsia="方正小标宋简体" w:cs="方正小标宋简体"/>
          <w:sz w:val="44"/>
          <w:szCs w:val="44"/>
          <w:lang w:val="zh-CN"/>
        </w:rPr>
        <w:t>习近平对西藏日喀则市吉隆县遭受泥石流灾害作出重要指示</w:t>
      </w:r>
    </w:p>
    <w:p w14:paraId="0E905EF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p>
    <w:p w14:paraId="7F7F866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8月26日10时30分许，因尼泊尔一侧发生泥石流灾害，造成西藏日喀则市吉隆县吉隆口岸重大人员伤亡、失联。</w:t>
      </w:r>
    </w:p>
    <w:p w14:paraId="6E5D5D1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灾害发生后，中共中央总书记、国家主席、中央军委主席习近平高度重视并作出重要指示指出，当务之急要千方百计搜救失联人员，转移安置受威胁群众，抓紧救治伤员，最大限度减少人员伤亡。要加强监测预警，注重科学施救，防止发生次生灾害。</w:t>
      </w:r>
    </w:p>
    <w:p w14:paraId="605822B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习近平强调，当前正处防汛关键期，各地区和有关部门要坚持极限思维、底线思维，认真落实防汛防台风各项措施，加强各类风险隐患排查整治，坚决防范重特大灾害事故发生，确保人民群众生命财产安全。</w:t>
      </w:r>
    </w:p>
    <w:p w14:paraId="480A03B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中共中央政治局常委、国务院总理李强作出批示指出，要抓紧核清失联受灾人数，组织力量全力开展抢险救援，及时有序转移受险群众，同时注意科学施救，严防次生灾害。外交部要加强与有关国家沟通协调，及时通报情况，共同妥善做好救援处置工作。当前仍值主汛期，国家防办、防减救灾办要指导各地深入排查灾害风险隐患，加强险情监测预警和排险避灾，确保人民群众生命安全。</w:t>
      </w:r>
    </w:p>
    <w:p w14:paraId="5FCE3D3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根据习近平重要指示和李强要求，中共中央政治局委员、国务院副总理张国清率有关部门负责同志赶赴现场指导救援处置工作。西藏已组织力量全力做好现场搜救等工作。目前，有关工作正在进行中。</w:t>
      </w:r>
    </w:p>
    <w:p w14:paraId="477F397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方正小标宋简体" w:hAnsi="方正小标宋简体" w:eastAsia="方正小标宋简体" w:cs="方正小标宋简体"/>
          <w:kern w:val="2"/>
          <w:sz w:val="40"/>
          <w:szCs w:val="40"/>
          <w:lang w:val="zh-CN" w:eastAsia="zh-CN" w:bidi="ar-SA"/>
        </w:rPr>
      </w:pPr>
    </w:p>
    <w:p w14:paraId="7AF5A3CF">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6E2CB76A">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09501691">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7343BB28">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7893286F">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4174F4D3">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08C2A6A9">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0A961AB4">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34BFB462">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43F0BD28">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50E96BB1">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7932638C">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559DAB10">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6FC76032">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7A87BA50">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7248A0B3">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41847BB2">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4443B9C3">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zh-CN"/>
        </w:rPr>
      </w:pPr>
    </w:p>
    <w:p w14:paraId="2E69B287">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0"/>
          <w:szCs w:val="40"/>
          <w:lang w:val="zh-CN"/>
        </w:rPr>
      </w:pPr>
      <w:r>
        <w:rPr>
          <w:rFonts w:hint="eastAsia" w:ascii="方正小标宋简体" w:hAnsi="方正小标宋简体" w:eastAsia="方正小标宋简体" w:cs="方正小标宋简体"/>
          <w:sz w:val="44"/>
          <w:szCs w:val="44"/>
          <w:lang w:val="zh-CN"/>
        </w:rPr>
        <w:t>坚持落实管党治党政治责任</w:t>
      </w:r>
    </w:p>
    <w:p w14:paraId="55145CEF">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楷体_GB2312" w:hAnsi="楷体_GB2312" w:eastAsia="楷体_GB2312" w:cs="楷体_GB2312"/>
          <w:sz w:val="32"/>
          <w:szCs w:val="32"/>
          <w:lang w:val="zh-CN"/>
        </w:rPr>
      </w:pPr>
      <w:r>
        <w:rPr>
          <w:rFonts w:hint="eastAsia" w:ascii="楷体_GB2312" w:hAnsi="楷体_GB2312" w:eastAsia="楷体_GB2312" w:cs="楷体_GB2312"/>
          <w:sz w:val="32"/>
          <w:szCs w:val="32"/>
          <w:lang w:val="zh-CN"/>
        </w:rPr>
        <w:t>习近平</w:t>
      </w:r>
    </w:p>
    <w:p w14:paraId="217F7CC9">
      <w:pPr>
        <w:adjustRightInd w:val="0"/>
        <w:snapToGrid w:val="0"/>
        <w:spacing w:line="560" w:lineRule="exact"/>
        <w:jc w:val="center"/>
        <w:rPr>
          <w:rFonts w:hint="eastAsia" w:ascii="仿宋_GB2312" w:hAnsi="仿宋_GB2312" w:eastAsia="仿宋_GB2312" w:cs="仿宋_GB2312"/>
          <w:sz w:val="32"/>
          <w:szCs w:val="32"/>
          <w:lang w:val="zh-CN"/>
        </w:rPr>
      </w:pPr>
    </w:p>
    <w:p w14:paraId="428AA79A">
      <w:pPr>
        <w:adjustRightInd w:val="0"/>
        <w:snapToGrid w:val="0"/>
        <w:spacing w:line="560" w:lineRule="exact"/>
        <w:jc w:val="center"/>
        <w:rPr>
          <w:rFonts w:hint="eastAsia" w:ascii="黑体" w:hAnsi="黑体" w:eastAsia="黑体" w:cs="黑体"/>
          <w:sz w:val="32"/>
          <w:szCs w:val="32"/>
          <w:lang w:val="zh-CN"/>
        </w:rPr>
      </w:pPr>
      <w:r>
        <w:rPr>
          <w:rFonts w:hint="eastAsia" w:ascii="黑体" w:hAnsi="黑体" w:eastAsia="黑体" w:cs="黑体"/>
          <w:sz w:val="32"/>
          <w:szCs w:val="32"/>
          <w:lang w:val="zh-CN"/>
        </w:rPr>
        <w:t>一</w:t>
      </w:r>
    </w:p>
    <w:p w14:paraId="341F604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党要管党，才能管好党；从严治党，才能治好党。对我们这样一个拥有8500多万党员、在一个13亿人口大国长期执政的党，管党治党一刻不能松懈。如果管党不力、治党不严，人民群众反映强烈的党内突出问题得不到解决，那我们党迟早会失去执政资格，不可避免被历史淘汰。这决不是危言耸听。</w:t>
      </w:r>
    </w:p>
    <w:p w14:paraId="4754C07E">
      <w:pPr>
        <w:adjustRightInd w:val="0"/>
        <w:snapToGrid w:val="0"/>
        <w:spacing w:line="560" w:lineRule="exact"/>
        <w:jc w:val="cente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（2013年6月28日在全国组织工作会议上的讲话）</w:t>
      </w:r>
    </w:p>
    <w:p w14:paraId="26578C25">
      <w:pPr>
        <w:adjustRightInd w:val="0"/>
        <w:snapToGrid w:val="0"/>
        <w:spacing w:line="560" w:lineRule="exact"/>
        <w:jc w:val="center"/>
        <w:rPr>
          <w:rFonts w:hint="eastAsia" w:ascii="黑体" w:hAnsi="黑体" w:eastAsia="黑体" w:cs="黑体"/>
          <w:sz w:val="32"/>
          <w:szCs w:val="32"/>
          <w:lang w:val="zh-CN"/>
        </w:rPr>
      </w:pPr>
    </w:p>
    <w:p w14:paraId="7DDE947F">
      <w:pPr>
        <w:adjustRightInd w:val="0"/>
        <w:snapToGrid w:val="0"/>
        <w:spacing w:line="560" w:lineRule="exact"/>
        <w:jc w:val="center"/>
        <w:rPr>
          <w:rFonts w:hint="eastAsia" w:ascii="黑体" w:hAnsi="黑体" w:eastAsia="黑体" w:cs="黑体"/>
          <w:sz w:val="32"/>
          <w:szCs w:val="32"/>
          <w:lang w:val="zh-CN"/>
        </w:rPr>
      </w:pPr>
      <w:r>
        <w:rPr>
          <w:rFonts w:hint="eastAsia" w:ascii="黑体" w:hAnsi="黑体" w:eastAsia="黑体" w:cs="黑体"/>
          <w:sz w:val="32"/>
          <w:szCs w:val="32"/>
          <w:lang w:val="zh-CN"/>
        </w:rPr>
        <w:t>二</w:t>
      </w:r>
    </w:p>
    <w:p w14:paraId="45943AC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从严治党，必须增强管党治党意识、落实管党治党责任。历史和现实特别是这次活动都告诉我们，不明确责任，不落实责任，不追究责任，从严治党是做不到的。经过这些年努力，各级建立了党建工作责任制，党委抓、书记抓、各有关部门抓、一级抓一级、层层抓落实的党建工作格局基本形成。然而，是不是各级党委、各部门党委（党组）都做到了聚精会神抓党建？是不是各级党委书记、各部门党委（党组）书记都成为了从严治党的书记？是不是各级各部门党委（党组）成员都履行了分管领域从严治党责任？一些地方和部门还难以给出令人满意的答案。</w:t>
      </w:r>
    </w:p>
    <w:p w14:paraId="6CD5A31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在一些领导干部眼中，抓党建同抓发展相比要虚一些，不容易出显绩，一年开几次会布置一下就可以了，不必那么上心用劲。也有一些人认为，在发展社会主义市场经济条件下，从严治党面临两难选择：过宽没有威慑力，会导致越来越多人闯“红线”，最终法不责众；过严会束缚人手脚，影响工作活力，干不成事，甚至还会影响自己的选票。这些认识都是不对的。</w:t>
      </w:r>
    </w:p>
    <w:p w14:paraId="34C1F48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各级各部门党委（党组）必须树立正确政绩观，坚持从巩固党的执政地位的大局看问题。如果我们党弱了、散了、垮了，其他政绩又有什么意义呢？各级党委要把从严治党责任承担好、落实好，坚持党建工作和中心工作一起谋划、一起部署、一起考核，把每条战线、每个领域、每个环节的党建工作抓具体、抓深入，坚决防止“一手硬、一手软”。对各级各部门党组织负责人特别是党委（党组）书记的考核，首先要看抓党建的实效，考核其他党员领导干部工作也要加大这方面的权重。</w:t>
      </w:r>
    </w:p>
    <w:p w14:paraId="0E300A0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（2014年10月8日在党的群众路线教育实践活动总结大会上的讲话）</w:t>
      </w:r>
    </w:p>
    <w:p w14:paraId="5E795C2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0"/>
        <w:jc w:val="center"/>
        <w:textAlignment w:val="auto"/>
        <w:rPr>
          <w:rFonts w:hint="eastAsia" w:ascii="仿宋_GB2312" w:hAnsi="仿宋_GB2312" w:eastAsia="仿宋_GB2312" w:cs="仿宋_GB2312"/>
          <w:kern w:val="2"/>
          <w:sz w:val="32"/>
          <w:szCs w:val="32"/>
          <w:lang w:val="zh-CN" w:eastAsia="zh-CN" w:bidi="ar-SA"/>
        </w:rPr>
      </w:pPr>
    </w:p>
    <w:p w14:paraId="4ED31D69">
      <w:pPr>
        <w:adjustRightInd w:val="0"/>
        <w:snapToGrid w:val="0"/>
        <w:spacing w:line="560" w:lineRule="exact"/>
        <w:jc w:val="center"/>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三</w:t>
      </w:r>
    </w:p>
    <w:p w14:paraId="539B083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42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各级党组织要担负起全面从严治党主体责任。全面从严治党，核心是加强党的领导，基础在全面，关键在严，要害在治。“全面”就是管全党、治全党，面向8700多万党员、430多万个党组织，覆盖党的建设各个领域、各个方面、各个部门，重点是抓住“关键少数”。“严”就是真管真严、敢管敢严、长管长严。“治”就是从党中央到省市县党委，从中央部委、国家机关部门党组（党委）到基层党支部，都要肩负起主体责任，党委书记要把抓好党建当作分内之事、必须担当的职责；各级纪委要担负起监督责任，敢于瞪眼黑脸，勇于执纪问责。3年多来从严治党的实践已经试出了人心向背，我们必须坚持不懈抓下去，使管党治党真正从宽松软走向严紧硬。</w:t>
      </w:r>
    </w:p>
    <w:p w14:paraId="57C535F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全面从严治党是各级党组织的职责所在。从党风廉政建设主体责任到全面从严治党主体责任，不只是字面上的变化，更是实践的发展、认识的深化。党风廉政建设和反腐败工作是全面从严治党的一部分，党的建设必须全面从严，各级党组织及其负责人都是责任主体。</w:t>
      </w:r>
    </w:p>
    <w:p w14:paraId="4DF9254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落实主体责任，关键是要把党的领导落到实处。各级党组织要牢固树立不管党治党就是严重失职的观念，在工作的方方面面体现党的领导。要把党的领导体现到日常管理监督中，敢于较真，注重日常，抓早抓小，防微杜渐，体现组织严格要求和关心爱护，决不能坐看自己的同志在错误的道路上越滑越远。党委书记要做管党治党的书记，当好第一责任人，对党负责，对本地区本单位的政治生态负责，对干部健康成长负责。要把责任传导给所有班子成员，压给下面的书记，确保责任落到实处。</w:t>
      </w:r>
    </w:p>
    <w:p w14:paraId="678A000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（2016年1月12日在十八届中央纪委六次全会上的讲话）</w:t>
      </w:r>
    </w:p>
    <w:p w14:paraId="01C38E4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仿宋_GB2312" w:hAnsi="仿宋_GB2312" w:eastAsia="仿宋_GB2312" w:cs="仿宋_GB2312"/>
          <w:kern w:val="2"/>
          <w:sz w:val="32"/>
          <w:szCs w:val="32"/>
          <w:lang w:val="zh-CN" w:eastAsia="zh-CN" w:bidi="ar-SA"/>
        </w:rPr>
      </w:pPr>
    </w:p>
    <w:p w14:paraId="1BA2E3AC">
      <w:pPr>
        <w:adjustRightInd w:val="0"/>
        <w:snapToGrid w:val="0"/>
        <w:spacing w:line="560" w:lineRule="exact"/>
        <w:jc w:val="center"/>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四</w:t>
      </w:r>
    </w:p>
    <w:p w14:paraId="6EB6A41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各级党委要抓好国有企业党的建设，把党要管党、从严治党落到实处。地方各级党委要把国有企业党的建设纳入整体工作部署和党的建设总体规划。国有企业党委（党组）要履行主体责任。要加强国有企业党风廉政建设和反腐败工作，把纪律和规矩挺在前面，持之以恒落实中央八项规定精神，抓好巡视发现问题的整改，严肃查处侵吞国有资产、利益输送等问题。</w:t>
      </w:r>
    </w:p>
    <w:p w14:paraId="4033543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（2016年10月10日在全国国有企业党的建设工作会议上的讲话）</w:t>
      </w:r>
    </w:p>
    <w:p w14:paraId="638411F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0"/>
        <w:jc w:val="center"/>
        <w:textAlignment w:val="auto"/>
        <w:rPr>
          <w:rFonts w:hint="eastAsia" w:ascii="仿宋_GB2312" w:hAnsi="仿宋_GB2312" w:eastAsia="仿宋_GB2312" w:cs="仿宋_GB2312"/>
          <w:kern w:val="2"/>
          <w:sz w:val="32"/>
          <w:szCs w:val="32"/>
          <w:lang w:val="zh-CN" w:eastAsia="zh-CN" w:bidi="ar-SA"/>
        </w:rPr>
      </w:pPr>
    </w:p>
    <w:p w14:paraId="42D98DF1">
      <w:pPr>
        <w:adjustRightInd w:val="0"/>
        <w:snapToGrid w:val="0"/>
        <w:spacing w:line="560" w:lineRule="exact"/>
        <w:jc w:val="center"/>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五</w:t>
      </w:r>
    </w:p>
    <w:p w14:paraId="7CCCB71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党内监督是全党的任务，党委（党组）负主体责任，书记是第一责任人，党委常委会委员（党组成员）和党委委员在职责范围内履行监督职责。各级纪委是党内监督专责机关，履行监督执纪问责职责。要落实纪律检查工作双重领导体制，强化上级纪委对下级纪委的领导；加强对派驻纪检组工作的领导，督促被监督单位党组织和派驻纪检组落实管党治党责任。党的工作部门是党委（党组）主体责任在不同领域的载体和抓手，也要做好职责范围内的党内监督工作，既加强对本机关本单位的内部监督，又强化对本系统的日常监督。</w:t>
      </w:r>
    </w:p>
    <w:p w14:paraId="78581BB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（2016年10月27日在党的十八届六中全会第二次全体会议上的讲话）</w:t>
      </w:r>
    </w:p>
    <w:p w14:paraId="661914A9">
      <w:pPr>
        <w:adjustRightInd w:val="0"/>
        <w:snapToGrid w:val="0"/>
        <w:spacing w:line="560" w:lineRule="exact"/>
        <w:jc w:val="center"/>
        <w:rPr>
          <w:rFonts w:hint="eastAsia" w:ascii="仿宋_GB2312" w:hAnsi="仿宋_GB2312" w:eastAsia="仿宋_GB2312" w:cs="仿宋_GB2312"/>
          <w:kern w:val="2"/>
          <w:sz w:val="32"/>
          <w:szCs w:val="32"/>
          <w:lang w:val="zh-CN" w:eastAsia="zh-CN" w:bidi="ar-SA"/>
        </w:rPr>
      </w:pPr>
      <w:r>
        <w:rPr>
          <w:rFonts w:hint="eastAsia" w:ascii="黑体" w:hAnsi="黑体" w:eastAsia="黑体" w:cs="黑体"/>
          <w:sz w:val="32"/>
          <w:szCs w:val="32"/>
          <w:lang w:val="zh-CN" w:eastAsia="zh-CN"/>
        </w:rPr>
        <w:t>六</w:t>
      </w:r>
    </w:p>
    <w:p w14:paraId="02AD084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党的各级组织层层压实主体责任，把严的要求贯穿管党治党全过程，日常管理监督立足于早、着眼于小，发现苗头及时提醒，触犯纪律立即处理，多积尺寸之功，经常防微杜渐。在执行纪律上更加细化，实践“四种形态”，综合运用多种方式，层层设防，时时提醒，使党员、干部不犯或少犯错误，体现了严管就是厚爱、治病为了救人。</w:t>
      </w:r>
    </w:p>
    <w:p w14:paraId="40C7BEF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（2017年1月6日在十八届中央纪委七次全会上的讲话）</w:t>
      </w:r>
    </w:p>
    <w:p w14:paraId="103E1DA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0"/>
        <w:jc w:val="center"/>
        <w:textAlignment w:val="auto"/>
        <w:rPr>
          <w:rFonts w:hint="eastAsia" w:ascii="仿宋_GB2312" w:hAnsi="仿宋_GB2312" w:eastAsia="仿宋_GB2312" w:cs="仿宋_GB2312"/>
          <w:kern w:val="2"/>
          <w:sz w:val="32"/>
          <w:szCs w:val="32"/>
          <w:lang w:val="zh-CN" w:eastAsia="zh-CN" w:bidi="ar-SA"/>
        </w:rPr>
      </w:pPr>
    </w:p>
    <w:p w14:paraId="13677D3C">
      <w:pPr>
        <w:adjustRightInd w:val="0"/>
        <w:snapToGrid w:val="0"/>
        <w:spacing w:line="560" w:lineRule="exact"/>
        <w:jc w:val="center"/>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七</w:t>
      </w:r>
    </w:p>
    <w:p w14:paraId="417DB8D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党的十八大以来，我们牢牢抓住管党治党责任的“牛鼻子”，层层传导压力，把主体责任和监督责任一贯到底，形成了全党动手一起抓的生动局面。各级党组织和全体党员、干部要真正把落实管党治党政治责任作为最根本的政治担当，紧紧咬住“责任”二字，抓住“问责”这个要害，把党的领导体现到统筹推进“五位一体”总体布局和协调推进“四个全面”战略布局各个方面。</w:t>
      </w:r>
    </w:p>
    <w:p w14:paraId="0BE2A35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（2018年1月11日在十九届中央纪委二次全会上的讲话）</w:t>
      </w:r>
    </w:p>
    <w:p w14:paraId="35CD6E2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420"/>
        <w:jc w:val="both"/>
        <w:textAlignment w:val="auto"/>
        <w:rPr>
          <w:rFonts w:hint="eastAsia" w:ascii="仿宋_GB2312" w:hAnsi="仿宋_GB2312" w:eastAsia="仿宋_GB2312" w:cs="仿宋_GB2312"/>
          <w:kern w:val="2"/>
          <w:sz w:val="32"/>
          <w:szCs w:val="32"/>
          <w:lang w:val="zh-CN" w:eastAsia="zh-CN" w:bidi="ar-SA"/>
        </w:rPr>
      </w:pPr>
    </w:p>
    <w:p w14:paraId="31D0CC67">
      <w:pPr>
        <w:adjustRightInd w:val="0"/>
        <w:snapToGrid w:val="0"/>
        <w:spacing w:line="560" w:lineRule="exact"/>
        <w:jc w:val="center"/>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八</w:t>
      </w:r>
    </w:p>
    <w:p w14:paraId="5D032B9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各级党委（党组）要加强对党的建设的领导，扛起主责、抓好主业、当好主角，把每条战线、每个领域、每个环节的党建工作抓具体、抓深入。党委（党组）书记作为第一责任人，要牢固树立“抓好党建是本职、不抓党建是失职、抓不好党建是不称职”的观念，推动党建责任层层落实落地，把党建工作抓实、抓细、抓到位。</w:t>
      </w:r>
    </w:p>
    <w:p w14:paraId="350960E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（2018年7月3日在全国组织工作会议上的讲话）</w:t>
      </w:r>
    </w:p>
    <w:p w14:paraId="37B919D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jc w:val="center"/>
        <w:textAlignment w:val="auto"/>
        <w:rPr>
          <w:rFonts w:hint="eastAsia" w:ascii="仿宋_GB2312" w:hAnsi="仿宋_GB2312" w:eastAsia="仿宋_GB2312" w:cs="仿宋_GB2312"/>
          <w:kern w:val="2"/>
          <w:sz w:val="32"/>
          <w:szCs w:val="32"/>
          <w:lang w:val="zh-CN" w:eastAsia="zh-CN" w:bidi="ar-SA"/>
        </w:rPr>
      </w:pPr>
    </w:p>
    <w:p w14:paraId="3A809C04">
      <w:pPr>
        <w:adjustRightInd w:val="0"/>
        <w:snapToGrid w:val="0"/>
        <w:spacing w:line="560" w:lineRule="exact"/>
        <w:jc w:val="center"/>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九</w:t>
      </w:r>
    </w:p>
    <w:p w14:paraId="65215E3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加强和改进中央和国家机关党的建设，必须牵住责任制这个“牛鼻子”。各部门党组（党委）要加强对本单位党的建设的领导，履行好全面从严治党责任。各部门党组（党委）要牢固树立抓机关党建是本职、不抓机关党建是失职、抓不好机关党建是渎职的理念，坚持“书记抓、抓书记”。领导班子成员和各级领导干部要履行“一岗双责”，不能认为自己是搞业务的就对党建工作不使劲，要明责、履责、尽责。机关党委书记要聚精会神抓党建。机关党委要聚焦主责主业，真正发挥职能作用。</w:t>
      </w:r>
    </w:p>
    <w:p w14:paraId="2569416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（2019年7月9日在中央和国家机关党的建设工作会议上的讲话）</w:t>
      </w:r>
    </w:p>
    <w:p w14:paraId="5D50287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p>
    <w:p w14:paraId="2806CE56">
      <w:pPr>
        <w:adjustRightInd w:val="0"/>
        <w:snapToGrid w:val="0"/>
        <w:spacing w:line="560" w:lineRule="exact"/>
        <w:jc w:val="center"/>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十</w:t>
      </w:r>
    </w:p>
    <w:p w14:paraId="73C0BC2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要加强党中央对反腐败工作的集中统一领导，发挥党的政治优势、组织优势、制度优势，压实各级党委（党组）全面从严治党主体责任特别是“一把手”第一责任人责任，贯通落实相关职能部门监管职责，健全各负其责、统一协调的管党治党责任格局。</w:t>
      </w:r>
    </w:p>
    <w:p w14:paraId="3B31C2C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（2022年6月17日在十九届中央政治局第四十次集体学习时的讲话）</w:t>
      </w:r>
    </w:p>
    <w:p w14:paraId="767BFA4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jc w:val="left"/>
        <w:textAlignment w:val="auto"/>
        <w:rPr>
          <w:rFonts w:hint="eastAsia" w:ascii="仿宋_GB2312" w:hAnsi="仿宋_GB2312" w:eastAsia="仿宋_GB2312" w:cs="仿宋_GB2312"/>
          <w:kern w:val="2"/>
          <w:sz w:val="32"/>
          <w:szCs w:val="32"/>
          <w:lang w:val="zh-CN" w:eastAsia="zh-CN" w:bidi="ar-SA"/>
        </w:rPr>
      </w:pPr>
    </w:p>
    <w:p w14:paraId="36068B94">
      <w:pPr>
        <w:adjustRightInd w:val="0"/>
        <w:snapToGrid w:val="0"/>
        <w:spacing w:line="560" w:lineRule="exact"/>
        <w:jc w:val="center"/>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十一</w:t>
      </w:r>
    </w:p>
    <w:p w14:paraId="79A6947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坚持责任上全链条，压实各级党委（党组）全面从严治党主体责任、各级纪委的监督责任，推动各级党委（党组）书记扛起第一责任人责任、领导班子其他成员切实担负“一岗双责”，让每名党员、干部行使应有权利、履行应尽责任，做到权责对等、失责必问，压力层层传导，责任环环相扣，切实增强管党治党的责任感使命感，巩固发展全党动手一起抓的良好局面。</w:t>
      </w:r>
    </w:p>
    <w:p w14:paraId="51EF17D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（2023年1月9日在二十届中央纪委二次全会上的讲话）</w:t>
      </w:r>
    </w:p>
    <w:p w14:paraId="66F9EE0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p>
    <w:p w14:paraId="3CFAFB5F">
      <w:pPr>
        <w:adjustRightInd w:val="0"/>
        <w:snapToGrid w:val="0"/>
        <w:spacing w:line="560" w:lineRule="exact"/>
        <w:jc w:val="center"/>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十二</w:t>
      </w:r>
    </w:p>
    <w:p w14:paraId="759DCA8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健全主体明确、要求清晰的责任体系。全面从严治党是全党的共同责任，必须分层分类建立健全责任体系，以明确责任、压实责任推动各级党组织和广大党员、干部知责、担责、履责。</w:t>
      </w:r>
    </w:p>
    <w:p w14:paraId="1F2F3DB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要围绕加强对管党治党的领导、选好用好干部、强化权力运行监督制约、维护群众利益等，明确党委（党组）全面从严治党主体责任；围绕高效监督、从严执纪、精准问责等，明确各级纪委的监督责任；围绕抓好班子、带好队伍、推动落实，明确党委（党组）书记第一责任人责任；结合职责任务分工，按照“一岗双责”要求，明确领导班子其他成员的管党治党责任；围绕严于自律和互相监督、互相提醒帮助，结合党员、干部岗位特点和工作实际，明确党员、干部的具体责任。要健全精准科学的问责机制，层层传导压力，以责任主体到位、责任要求到位、考核问责到位，推动管党治党责任落实到位。</w:t>
      </w:r>
    </w:p>
    <w:p w14:paraId="4376CAC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（2024年6月27日在二十届中央政治局第十五次集体学习时的讲话）</w:t>
      </w:r>
    </w:p>
    <w:p w14:paraId="7340F82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p>
    <w:p w14:paraId="11DADAFB">
      <w:pPr>
        <w:adjustRightInd w:val="0"/>
        <w:snapToGrid w:val="0"/>
        <w:spacing w:line="560" w:lineRule="exact"/>
        <w:jc w:val="center"/>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十三</w:t>
      </w:r>
    </w:p>
    <w:p w14:paraId="6C71C4A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强化全面从严治党主体责任和监督责任。一个地方和部门全面从严治党局面如何，关键在于党组织和领导干部特别是“一把手”是否尽到了责任。这个问题我强调了多次，但有些人还是不往心里去。有的对全面从严治党表态拥护多、主动抓得少，对一些问题心知肚明却装聋作哑。有的班子成员、职能部门认为“两个责任”就是党委、纪委两个书记的事，事不关己、高高挂起。管党治党责任重大，没有哪个党组织和领导干部可以置身事外。党委要主动抓、主动管，不能用纪委的监督责任代替自身的主体责任，更不能放弃责任、一推了之。纪委要把专责监督履行好，聚焦主责、干好主业，既不能去行使党委和政府的职权，也不能代替职能部门去抓监管。各责任主体都要知责、担责、履责，不能当“好好先生”，为了所谓个人形象，任由党的形象和人民利益受损害。要优化责任落实考评机制，对失职失责精准科学问责，让大家心服口服。</w:t>
      </w:r>
    </w:p>
    <w:p w14:paraId="789921E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（2025年1月6日在二十届中央纪委四次全会上的讲话）</w:t>
      </w:r>
    </w:p>
    <w:p w14:paraId="42B88BB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p>
    <w:p w14:paraId="39CC35DE">
      <w:pPr>
        <w:adjustRightInd w:val="0"/>
        <w:snapToGrid w:val="0"/>
        <w:spacing w:line="560" w:lineRule="exact"/>
        <w:jc w:val="center"/>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十四</w:t>
      </w:r>
    </w:p>
    <w:p w14:paraId="008BEDE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落实管党治党责任要进一步到位。我曾经说过，抓好党建是本职，不抓党建是失职，抓不好党建是不称职，现在看来这大有重申的必要。</w:t>
      </w:r>
    </w:p>
    <w:p w14:paraId="6B29CDE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管党治党责任有主体责任、监督责任、第一责任人责任、“一岗双责”等，这些构成一个完整的责任链条，每一种责任都很重要，都要严格落实，不能敷衍应付。我们讲强化党组织政治功能，落实管党治党主体责任是其中的重要内涵。各级领导干部作为“关键少数”，要以爱党、忧党、护党、兴党的政治忠诚，坚决扛起管党治党责任，严于律己、严负其责、严管所辖，层层传导压力，切实把严的氛围营造起来、把正的风气树立起来。中央政治局的同志在落实管党治党责任上要为全党树标杆、作表率。</w:t>
      </w:r>
    </w:p>
    <w:p w14:paraId="633939C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（2025年6月30日在二十届中央政治局第二十一次集体学习时的讲话）</w:t>
      </w:r>
    </w:p>
    <w:p w14:paraId="4554AC3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p>
    <w:p w14:paraId="5B8DDB45">
      <w:pPr>
        <w:adjustRightInd w:val="0"/>
        <w:snapToGrid w:val="0"/>
        <w:spacing w:line="560" w:lineRule="exact"/>
        <w:jc w:val="center"/>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十五</w:t>
      </w:r>
    </w:p>
    <w:p w14:paraId="44110AD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坚定信心、接续奋斗，必须持之以恒推进全面从严治党。全面从严治党永远在路上。新征程上，必须全面贯彻新时代党建思想，落实新时代党的建设总要求，着眼于提高党的长期执政能力、保持党的先进性和纯洁性、保持党同人民群众的血肉联系，健全全面从严治党体系，以党的政治建设为统领加强党的各方面建设，坚决打好反腐败斗争攻坚战持久战总体战，不断增强党的政治领导力、思想引领力、群众组织力、社会号召力，确保党在新时代坚持和发展中国特色社会主义的历史进程中始终成为坚强领导核心。</w:t>
      </w:r>
    </w:p>
    <w:p w14:paraId="66C10E2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（2026年7月1日在庆祝中国共产党成立105周年大会上的讲话）</w:t>
      </w:r>
    </w:p>
    <w:p w14:paraId="008C29E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p>
    <w:p w14:paraId="5801ABC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※这是习近平总书记2013年6月至2026年7月期间有关坚持落实管党治党政治责任重要论述的节录。</w:t>
      </w:r>
    </w:p>
    <w:p w14:paraId="2744F57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p>
    <w:p w14:paraId="68FEA87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p>
    <w:p w14:paraId="6D53B3E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p>
    <w:p w14:paraId="59E596B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p>
    <w:p w14:paraId="2E6DA93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p>
    <w:p w14:paraId="5AB4421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p>
    <w:p w14:paraId="0269C4D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p>
    <w:p w14:paraId="746506B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p>
    <w:p w14:paraId="2405968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p>
    <w:p w14:paraId="19B9EEF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p>
    <w:p w14:paraId="4CAE6A6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p>
    <w:p w14:paraId="6AFD6B1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p>
    <w:p w14:paraId="5FF3CA43">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44"/>
          <w:szCs w:val="44"/>
          <w:lang w:val="zh-CN"/>
        </w:rPr>
      </w:pPr>
      <w:r>
        <w:rPr>
          <w:rFonts w:hint="eastAsia" w:ascii="方正小标宋简体" w:hAnsi="方正小标宋简体" w:eastAsia="方正小标宋简体" w:cs="方正小标宋简体"/>
          <w:sz w:val="44"/>
          <w:szCs w:val="44"/>
          <w:lang w:val="zh-CN"/>
        </w:rPr>
        <w:t>在第四十二个教师节到来之际</w:t>
      </w:r>
    </w:p>
    <w:p w14:paraId="026904CB">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44"/>
          <w:szCs w:val="44"/>
          <w:lang w:val="zh-CN"/>
        </w:rPr>
      </w:pPr>
      <w:r>
        <w:rPr>
          <w:rFonts w:hint="eastAsia" w:ascii="方正小标宋简体" w:hAnsi="方正小标宋简体" w:eastAsia="方正小标宋简体" w:cs="方正小标宋简体"/>
          <w:sz w:val="44"/>
          <w:szCs w:val="44"/>
          <w:lang w:val="zh-CN"/>
        </w:rPr>
        <w:t>习近平向全国广大教师和教育工作者致以节日祝贺和诚挚问候</w:t>
      </w:r>
    </w:p>
    <w:p w14:paraId="45AE721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40"/>
          <w:szCs w:val="40"/>
          <w:lang w:val="zh-CN"/>
        </w:rPr>
      </w:pPr>
    </w:p>
    <w:p w14:paraId="69AE9BE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在第四十二个教师节到来之际，中共中央总书记、国家主席、中央军委主席习近平代表党中央，向全国广大教师和教育工作者致以节日祝贺和诚挚问候。</w:t>
      </w:r>
    </w:p>
    <w:p w14:paraId="14B7E8B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习近平指出，长期以来，全国广大教师认真贯彻党的教育方针，躬耕教坛、传道授业，为党和国家事业发展作出了重要贡献。</w:t>
      </w:r>
    </w:p>
    <w:p w14:paraId="5364E57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习近平强调，新征程上，希望广大教师牢记为党育人、为国育才的初心使命，落实立德树人根本任务，大力弘扬教育家精神，涵养高尚师德师风，提升专业素质能力，努力培养担当民族复兴大任的时代新人。各级党委和政府要重视加强教师队伍建设，在全社会营造尊师重教良好氛围，汇聚起教育强国建设的强大合力。</w:t>
      </w:r>
    </w:p>
    <w:p w14:paraId="1B6F4CA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jc w:val="left"/>
        <w:textAlignment w:val="auto"/>
        <w:rPr>
          <w:rFonts w:hint="eastAsia" w:ascii="仿宋_GB2312" w:hAnsi="仿宋_GB2312" w:eastAsia="仿宋_GB2312" w:cs="仿宋_GB2312"/>
          <w:kern w:val="2"/>
          <w:sz w:val="32"/>
          <w:szCs w:val="32"/>
          <w:lang w:val="zh-CN" w:eastAsia="zh-CN" w:bidi="ar-SA"/>
        </w:rPr>
      </w:pPr>
    </w:p>
    <w:p w14:paraId="294CF20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jc w:val="left"/>
        <w:textAlignment w:val="auto"/>
        <w:rPr>
          <w:rFonts w:hint="eastAsia" w:ascii="仿宋_GB2312" w:hAnsi="仿宋_GB2312" w:eastAsia="仿宋_GB2312" w:cs="仿宋_GB2312"/>
          <w:kern w:val="2"/>
          <w:sz w:val="32"/>
          <w:szCs w:val="32"/>
          <w:lang w:val="zh-CN" w:eastAsia="zh-CN" w:bidi="ar-SA"/>
        </w:rPr>
      </w:pPr>
    </w:p>
    <w:p w14:paraId="172E3D7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jc w:val="left"/>
        <w:textAlignment w:val="auto"/>
        <w:rPr>
          <w:rFonts w:hint="eastAsia" w:ascii="仿宋_GB2312" w:hAnsi="仿宋_GB2312" w:eastAsia="仿宋_GB2312" w:cs="仿宋_GB2312"/>
          <w:kern w:val="2"/>
          <w:sz w:val="32"/>
          <w:szCs w:val="32"/>
          <w:lang w:val="zh-CN" w:eastAsia="zh-CN" w:bidi="ar-SA"/>
        </w:rPr>
      </w:pPr>
    </w:p>
    <w:p w14:paraId="67C8074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jc w:val="left"/>
        <w:textAlignment w:val="auto"/>
        <w:rPr>
          <w:rFonts w:hint="eastAsia" w:ascii="仿宋_GB2312" w:hAnsi="仿宋_GB2312" w:eastAsia="仿宋_GB2312" w:cs="仿宋_GB2312"/>
          <w:kern w:val="2"/>
          <w:sz w:val="32"/>
          <w:szCs w:val="32"/>
          <w:lang w:val="zh-CN" w:eastAsia="zh-CN" w:bidi="ar-SA"/>
        </w:rPr>
      </w:pPr>
    </w:p>
    <w:p w14:paraId="6687E6D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jc w:val="left"/>
        <w:textAlignment w:val="auto"/>
        <w:rPr>
          <w:rFonts w:hint="eastAsia" w:ascii="仿宋_GB2312" w:hAnsi="仿宋_GB2312" w:eastAsia="仿宋_GB2312" w:cs="仿宋_GB2312"/>
          <w:kern w:val="2"/>
          <w:sz w:val="32"/>
          <w:szCs w:val="32"/>
          <w:lang w:val="zh-CN" w:eastAsia="zh-CN" w:bidi="ar-SA"/>
        </w:rPr>
      </w:pPr>
    </w:p>
    <w:p w14:paraId="5F1C3D7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jc w:val="left"/>
        <w:textAlignment w:val="auto"/>
        <w:rPr>
          <w:rFonts w:hint="eastAsia" w:ascii="仿宋_GB2312" w:hAnsi="仿宋_GB2312" w:eastAsia="仿宋_GB2312" w:cs="仿宋_GB2312"/>
          <w:kern w:val="2"/>
          <w:sz w:val="32"/>
          <w:szCs w:val="32"/>
          <w:lang w:val="zh-CN" w:eastAsia="zh-CN" w:bidi="ar-SA"/>
        </w:rPr>
      </w:pPr>
    </w:p>
    <w:p w14:paraId="11499BD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jc w:val="left"/>
        <w:textAlignment w:val="auto"/>
        <w:rPr>
          <w:rFonts w:hint="eastAsia" w:ascii="仿宋_GB2312" w:hAnsi="仿宋_GB2312" w:eastAsia="仿宋_GB2312" w:cs="仿宋_GB2312"/>
          <w:kern w:val="2"/>
          <w:sz w:val="32"/>
          <w:szCs w:val="32"/>
          <w:lang w:val="zh-CN" w:eastAsia="zh-CN" w:bidi="ar-SA"/>
        </w:rPr>
      </w:pPr>
    </w:p>
    <w:p w14:paraId="200C943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jc w:val="left"/>
        <w:textAlignment w:val="auto"/>
        <w:rPr>
          <w:rFonts w:hint="eastAsia" w:ascii="仿宋_GB2312" w:hAnsi="仿宋_GB2312" w:eastAsia="仿宋_GB2312" w:cs="仿宋_GB2312"/>
          <w:kern w:val="2"/>
          <w:sz w:val="32"/>
          <w:szCs w:val="32"/>
          <w:lang w:val="zh-CN" w:eastAsia="zh-CN" w:bidi="ar-SA"/>
        </w:rPr>
      </w:pPr>
    </w:p>
    <w:p w14:paraId="3B217A6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44"/>
          <w:szCs w:val="44"/>
          <w:lang w:val="zh-CN" w:eastAsia="zh-CN"/>
        </w:rPr>
      </w:pPr>
      <w:r>
        <w:rPr>
          <w:rFonts w:hint="eastAsia" w:ascii="方正小标宋简体" w:hAnsi="方正小标宋简体" w:eastAsia="方正小标宋简体" w:cs="方正小标宋简体"/>
          <w:sz w:val="44"/>
          <w:szCs w:val="44"/>
          <w:lang w:val="zh-CN" w:eastAsia="zh-CN"/>
        </w:rPr>
        <w:t>在加强基础研究座谈会上的讲话</w:t>
      </w:r>
    </w:p>
    <w:p w14:paraId="38FE9516">
      <w:pPr>
        <w:keepNext w:val="0"/>
        <w:keepLines w:val="0"/>
        <w:pageBreakBefore w:val="0"/>
        <w:widowControl/>
        <w:kinsoku/>
        <w:wordWrap/>
        <w:overflowPunct/>
        <w:topLinePunct w:val="0"/>
        <w:autoSpaceDE/>
        <w:autoSpaceDN/>
        <w:bidi w:val="0"/>
        <w:adjustRightInd w:val="0"/>
        <w:snapToGrid w:val="0"/>
        <w:spacing w:line="600" w:lineRule="exact"/>
        <w:jc w:val="center"/>
        <w:textAlignment w:val="auto"/>
        <w:rPr>
          <w:rFonts w:hint="eastAsia" w:ascii="楷体_GB2312" w:hAnsi="楷体_GB2312" w:eastAsia="楷体_GB2312" w:cs="楷体_GB2312"/>
          <w:color w:val="auto"/>
          <w:kern w:val="0"/>
          <w:sz w:val="32"/>
          <w:szCs w:val="32"/>
          <w:lang w:val="zh-CN" w:eastAsia="zh-CN" w:bidi="ar-SA"/>
        </w:rPr>
      </w:pPr>
      <w:r>
        <w:rPr>
          <w:rFonts w:hint="eastAsia" w:ascii="楷体_GB2312" w:hAnsi="楷体_GB2312" w:eastAsia="楷体_GB2312" w:cs="楷体_GB2312"/>
          <w:color w:val="auto"/>
          <w:kern w:val="0"/>
          <w:sz w:val="32"/>
          <w:szCs w:val="32"/>
          <w:lang w:val="zh-CN" w:eastAsia="zh-CN" w:bidi="ar-SA"/>
        </w:rPr>
        <w:t>（2026年4月30日）</w:t>
      </w:r>
    </w:p>
    <w:p w14:paraId="69A8DA47">
      <w:pPr>
        <w:keepNext w:val="0"/>
        <w:keepLines w:val="0"/>
        <w:pageBreakBefore w:val="0"/>
        <w:widowControl/>
        <w:kinsoku/>
        <w:wordWrap/>
        <w:overflowPunct/>
        <w:topLinePunct w:val="0"/>
        <w:autoSpaceDE/>
        <w:autoSpaceDN/>
        <w:bidi w:val="0"/>
        <w:adjustRightInd w:val="0"/>
        <w:snapToGrid w:val="0"/>
        <w:spacing w:line="600" w:lineRule="exact"/>
        <w:jc w:val="center"/>
        <w:textAlignment w:val="auto"/>
        <w:rPr>
          <w:rFonts w:hint="eastAsia" w:ascii="楷体_GB2312" w:hAnsi="楷体_GB2312" w:eastAsia="楷体_GB2312" w:cs="楷体_GB2312"/>
          <w:color w:val="auto"/>
          <w:kern w:val="0"/>
          <w:sz w:val="32"/>
          <w:szCs w:val="32"/>
          <w:lang w:val="zh-CN" w:eastAsia="zh-CN" w:bidi="ar-SA"/>
        </w:rPr>
      </w:pPr>
      <w:r>
        <w:rPr>
          <w:rFonts w:hint="eastAsia" w:ascii="楷体_GB2312" w:hAnsi="楷体_GB2312" w:eastAsia="楷体_GB2312" w:cs="楷体_GB2312"/>
          <w:color w:val="auto"/>
          <w:kern w:val="0"/>
          <w:sz w:val="32"/>
          <w:szCs w:val="32"/>
          <w:lang w:val="zh-CN" w:eastAsia="zh-CN" w:bidi="ar-SA"/>
        </w:rPr>
        <w:t>习近平</w:t>
      </w:r>
    </w:p>
    <w:p w14:paraId="05BD7F64">
      <w:pPr>
        <w:keepNext w:val="0"/>
        <w:keepLines w:val="0"/>
        <w:pageBreakBefore w:val="0"/>
        <w:widowControl/>
        <w:kinsoku/>
        <w:wordWrap/>
        <w:overflowPunct/>
        <w:topLinePunct w:val="0"/>
        <w:autoSpaceDE/>
        <w:autoSpaceDN/>
        <w:bidi w:val="0"/>
        <w:adjustRightInd w:val="0"/>
        <w:snapToGrid w:val="0"/>
        <w:spacing w:line="640" w:lineRule="exact"/>
        <w:jc w:val="center"/>
        <w:textAlignment w:val="auto"/>
        <w:rPr>
          <w:rFonts w:hint="eastAsia" w:ascii="楷体_GB2312" w:hAnsi="楷体_GB2312" w:eastAsia="楷体_GB2312" w:cs="楷体_GB2312"/>
          <w:color w:val="auto"/>
          <w:kern w:val="0"/>
          <w:sz w:val="32"/>
          <w:szCs w:val="32"/>
          <w:lang w:val="zh-CN" w:eastAsia="zh-CN" w:bidi="ar-SA"/>
        </w:rPr>
      </w:pPr>
    </w:p>
    <w:p w14:paraId="54D5E60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今天，我们召开座谈会，共同探讨如何加强基础研究，目的是提升我国原始创新能力，进一步打牢科技强国建设根基，加快实现高水平科技自立自强。“十五五”开局之年开这个会，具有标志性意义。刚才，几位同志作了发言，提出一些好的意见建议，有关方面要认真研究吸收。</w:t>
      </w:r>
    </w:p>
    <w:p w14:paraId="18C5270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下面，我讲几点意见。</w:t>
      </w:r>
    </w:p>
    <w:p w14:paraId="71BF810A">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b/>
          <w:bCs/>
          <w:sz w:val="32"/>
          <w:szCs w:val="32"/>
          <w:lang w:val="zh-CN" w:eastAsia="zh-CN"/>
        </w:rPr>
        <w:t>第一，充分认识加强基础研究的重要性紧迫性。</w:t>
      </w:r>
      <w:r>
        <w:rPr>
          <w:rFonts w:hint="eastAsia" w:ascii="仿宋_GB2312" w:hAnsi="仿宋_GB2312" w:eastAsia="仿宋_GB2312" w:cs="仿宋_GB2312"/>
          <w:sz w:val="32"/>
          <w:szCs w:val="32"/>
          <w:lang w:val="zh-CN" w:eastAsia="zh-CN"/>
        </w:rPr>
        <w:t>基础研究是整个科学体系的源头，是所有技术问题的总机关，是全球科技竞争的前沿阵地。人类发展历史表明，基础研究的每一次重大突破，都会推动科学技术巨大进步，带动社会生产力显著跃升。衡量一个国家的科技实力，一个重要标准就是看基础研究水平。要成为世界科技强国，基础研究必须搞上去。当前，新一轮科技革命和产业变革加速突破，全球科技竞争更加聚焦基础前沿领域，科学发现和技术发明互促共进，原创性颠覆性创新的重要性日益凸显。这对我们来说既是历史机遇，也是新的挑战。</w:t>
      </w:r>
    </w:p>
    <w:p w14:paraId="47A32EC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党的十八大以来，党中央高度重视基础研究，通过优化科研布局、加大投入保障、创新体制机制等，推动我国基础研究水平显著提升。同时要看到，与世界科技强国相比，我们的基础研究仍然存在差距，要求我们增强危机感和紧迫感，以更大力度、更实举措加强基础研究。</w:t>
      </w:r>
    </w:p>
    <w:p w14:paraId="6813205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当前，各级各有关方面对基础研究总体上认识不断提高，但一些地方和单位仍然存在重视不够的问题。基础研究是打基础、利长远的事业，既不能急功近利，也不可消极无为，要有“前人栽树、后人乘凉”的境界和担当，有“十年磨一剑”的恒心和毅力。这不只是科研工作思路问题，更是大局观、政绩观问题。要认真查摆和整改科研工作方面的政绩观偏差，推动各级各有关方面结合实际真正把基础研究工作摆上重要日程，倾力抓、持续抓，不断抓出新成效。</w:t>
      </w:r>
    </w:p>
    <w:p w14:paraId="0DBA100A">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b/>
          <w:bCs/>
          <w:sz w:val="32"/>
          <w:szCs w:val="32"/>
          <w:lang w:val="zh-CN" w:eastAsia="zh-CN"/>
        </w:rPr>
        <w:t>第二，优化基础研究系统布局。</w:t>
      </w:r>
      <w:r>
        <w:rPr>
          <w:rFonts w:hint="eastAsia" w:ascii="仿宋_GB2312" w:hAnsi="仿宋_GB2312" w:eastAsia="仿宋_GB2312" w:cs="仿宋_GB2312"/>
          <w:sz w:val="32"/>
          <w:szCs w:val="32"/>
          <w:lang w:val="zh-CN" w:eastAsia="zh-CN"/>
        </w:rPr>
        <w:t>进入大科学时代，基础研究组织化程度越来越高，需要我们加强统筹谋划和顶层设计，加快形成战略性、前瞻性、体系化布局。</w:t>
      </w:r>
    </w:p>
    <w:p w14:paraId="25B43D4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要把准目标方向。有的放矢才能提高基础研究质量。要坚持“四个面向”战略导向，从国家急迫需要和长远需求出发，进一步明确基础研究的主攻方向和重点领域，统筹推进原始创新和关键核心技术攻关。根据不同领域情况分类施策，着力扬优势、补短板、强弱项。</w:t>
      </w:r>
    </w:p>
    <w:p w14:paraId="7A0133D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要强化力量协同。基础研究系统性强，必须广泛调动各方力量。要发挥新型举国体制优势，强化国家实验室、国家科研机构、高水平研究型大学等引领作用，整合资源推进原创性颠覆性创新。鼓励和规范发展新型研发机构，探索创新科研管理方式，壮大基础研究力量。支持科技领军企业牵头或参与基础研究项目，推动企业主导的产学研深度融合，打通基础研究、应用开发、成果转化的创新链条。</w:t>
      </w:r>
    </w:p>
    <w:p w14:paraId="6A51CDC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要健全学科布局。学科体系是基础研究的重要基础。面对学科边界不断拓展的新形势，要完善学科设置调整机制。加强数学、物理、化学、生物、天文、地学等基础学科建设，促进应用学科与基础学科协调发展，关注扶持冷门学科、薄弱学科，培育新兴学科，鼓励多学科交叉融合和跨学科研究。</w:t>
      </w:r>
    </w:p>
    <w:p w14:paraId="3EBA0B98">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b/>
          <w:bCs/>
          <w:sz w:val="32"/>
          <w:szCs w:val="32"/>
          <w:lang w:val="zh-CN" w:eastAsia="zh-CN"/>
        </w:rPr>
        <w:t>第三，壮大基础研究人才队伍。</w:t>
      </w:r>
      <w:r>
        <w:rPr>
          <w:rFonts w:hint="eastAsia" w:ascii="仿宋_GB2312" w:hAnsi="仿宋_GB2312" w:eastAsia="仿宋_GB2312" w:cs="仿宋_GB2312"/>
          <w:sz w:val="32"/>
          <w:szCs w:val="32"/>
          <w:lang w:val="zh-CN" w:eastAsia="zh-CN"/>
        </w:rPr>
        <w:t>基础研究归根结底靠高水平人才。要一体推进教育科技人才发展，全方位做好培养、引进、使用工作，努力使基础研究人才数量充足、素质优良、结构合理。</w:t>
      </w:r>
    </w:p>
    <w:p w14:paraId="48B6424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要着力提高自主培养质量。自主培养始终是人才培养的主渠道。要遵循人才成长规律，全面提高教育质量，源源不断培养基础研究后备力量。统筹实施拔尖计划、强基计划、英才计划，注重基础教育阶段早期培养，完善本硕博贯通培养模式，造就更多基础学科拔尖创新人才。优化科教协同育人机制，注重在科研一线发现和培养高水平人才。</w:t>
      </w:r>
    </w:p>
    <w:p w14:paraId="1FF9C25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要大力扶持青年人才。青年人才是基础研究的生力军，很多重大成果都是年轻人做出来的。要全链条接续培养青年人才队伍，坚持任务牵引、以老带新，加强教育引导和关心关爱，为青年科技人员的成长成才铺路搭桥，支持他们挑大梁、当主角。</w:t>
      </w:r>
    </w:p>
    <w:p w14:paraId="449F726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要积极营造良好氛围。基础研究是一项探索未知的事业，需要热爱和坚守。要不断改善基础研究人员的工作和生活条件，保障薪酬待遇，帮助解决实际困难，让他们安身安心安业。大力弘扬科学家精神，讲好科学家故事，加强科普宣传，激发青少年的好奇心、想象力和探求欲，让投身基础研究成为更多青少年的人生追求。</w:t>
      </w:r>
    </w:p>
    <w:p w14:paraId="0A39043D">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b/>
          <w:bCs/>
          <w:sz w:val="32"/>
          <w:szCs w:val="32"/>
          <w:lang w:val="zh-CN" w:eastAsia="zh-CN"/>
        </w:rPr>
        <w:t>第四，加强对基础研究的支持保障。</w:t>
      </w:r>
      <w:r>
        <w:rPr>
          <w:rFonts w:hint="eastAsia" w:ascii="仿宋_GB2312" w:hAnsi="仿宋_GB2312" w:eastAsia="仿宋_GB2312" w:cs="仿宋_GB2312"/>
          <w:sz w:val="32"/>
          <w:szCs w:val="32"/>
          <w:lang w:val="zh-CN" w:eastAsia="zh-CN"/>
        </w:rPr>
        <w:t>基础研究很大程度是面向未来的，必须久久为功。要勇于破除思想障碍和制度藩篱，为基础研究提供长期稳定的投入保障和政策支持。</w:t>
      </w:r>
    </w:p>
    <w:p w14:paraId="14838A1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要加大经费投入。目前我国基础研究经费在全社会研发投入中的占比超过7%，但与世界科技强国15%至20%的比重相比仍有不小差距。要逐步提高基础研究经费占比，进一步拓宽筹资渠道，稳步增加财政投入，引导企业和社会力量加大投入，形成基础研究多元化投入格局。提高科学基金资助效能，对从事基础研究的科研机构和平台基地提供稳定支持，对优秀研究团队和人才实行竞争择优基础上的接续支持，对重大原创项目采取滚动式支持。</w:t>
      </w:r>
    </w:p>
    <w:p w14:paraId="3616092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要优化研究条件。立足科研基础条件自主保障，体系化布局建设重大科技基础设施。加强国家科学数据中心建设，提高数据开放共享水平和利用效率。加紧建设世界一流科技期刊，鼓励国内外成果在我国期刊和平台首发。重视人工智能赋能基础研究，开发科学基础大模型和学科领域专业模型，建设智能化科研平台系统，促进各领域科学加速突破。</w:t>
      </w:r>
    </w:p>
    <w:p w14:paraId="03F50FA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要深化科技体制改革。健全符合基础研究特点的分类评价体系，完善代表成果评价、长周期评价、国际同行评价、团队评价等机制，更加注重研究成果的原创性和学术价值。完善基础研究激励机制，深化职务科技成果赋权改革，建立基础研究与成果转化互促机制。改革科研管理方式，为基础研究人员松绑减负。</w:t>
      </w:r>
    </w:p>
    <w:p w14:paraId="4F5E791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要净化科研生态。营造开放包容、宽容失败的创新环境，鼓励基础研究人员潜心钻研，敢于提出新问题、开辟新领域、探索新路径。加强科研诚信建设，推动科技界正学风转作风，破除“圈子文化”和“学阀”做派，切实扭转唯论文、唯顶刊、唯帽子、唯奖项倾向，坚决惩治科研腐败。</w:t>
      </w:r>
    </w:p>
    <w:p w14:paraId="626E582E">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b/>
          <w:bCs/>
          <w:sz w:val="32"/>
          <w:szCs w:val="32"/>
          <w:lang w:val="zh-CN" w:eastAsia="zh-CN"/>
        </w:rPr>
        <w:t>第五，拓展基础研究国际合作。</w:t>
      </w:r>
      <w:r>
        <w:rPr>
          <w:rFonts w:hint="eastAsia" w:ascii="仿宋_GB2312" w:hAnsi="仿宋_GB2312" w:eastAsia="仿宋_GB2312" w:cs="仿宋_GB2312"/>
          <w:sz w:val="32"/>
          <w:szCs w:val="32"/>
          <w:lang w:val="zh-CN" w:eastAsia="zh-CN"/>
        </w:rPr>
        <w:t>探索世界科学前沿，国际合作必不可少。要主动融入全球创新网络，在开放合作中提升原始创新能力。深化政府和民间基础研究国际交流合作，发挥共建“一带一路”等平台作用，联合各国开展气候变化、能源环境、生命健康等重大科学问题攻关。加大国家科技计划对外开放力度，扩大基础研究人员交流规模。牵头发起和加入国际大科学计划、大科学工程，支持在华设立国际科技组织，支持国内高校、科研院所、科技组织积极参与全球科技治理。</w:t>
      </w:r>
    </w:p>
    <w:p w14:paraId="45B9B0E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加强基础研究，需要全党全社会共同努力。中央科技委要强化系统部署和统筹协调，抓好重大任务和重要事项督办。各级党委和政府要加大政策支持力度、做好服务保障，推动党中央决策部署落到实处。</w:t>
      </w:r>
    </w:p>
    <w:p w14:paraId="7BEDE17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p>
    <w:p w14:paraId="6CA5937B">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44"/>
          <w:szCs w:val="44"/>
          <w:lang w:val="zh-CN" w:eastAsia="zh-CN"/>
        </w:rPr>
      </w:pPr>
      <w:r>
        <w:rPr>
          <w:rFonts w:hint="eastAsia" w:ascii="方正小标宋简体" w:hAnsi="方正小标宋简体" w:eastAsia="方正小标宋简体" w:cs="方正小标宋简体"/>
          <w:sz w:val="44"/>
          <w:szCs w:val="44"/>
          <w:lang w:val="zh-CN" w:eastAsia="zh-CN"/>
        </w:rPr>
        <w:t>习近平致吉林大学建校80周年的贺信</w:t>
      </w:r>
    </w:p>
    <w:p w14:paraId="5C87C67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p>
    <w:p w14:paraId="643A59E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值此吉林大学建校80周年之际，我向全体师生员工和广大校友致以祝贺！</w:t>
      </w:r>
    </w:p>
    <w:p w14:paraId="6C3125F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新起点上，希望吉林大学以新时代中国特色社会主义思想为指导，传承红色基因，发挥综合优势，聚焦国家战略需求，不断优化学科专业布局，提升教学科研水平，努力培养更多高素质人才，为推动新时代东北全面振兴、推进中国式现代化作出更大贡献。</w:t>
      </w:r>
    </w:p>
    <w:p w14:paraId="00AB9ED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p>
    <w:p w14:paraId="137A266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righ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习近平</w:t>
      </w:r>
    </w:p>
    <w:p w14:paraId="28CA8A3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right"/>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2026年9月16日</w:t>
      </w:r>
    </w:p>
    <w:p w14:paraId="34CAA4F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p>
    <w:p w14:paraId="5622828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p>
    <w:p w14:paraId="34E20A9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p>
    <w:p w14:paraId="11243DB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p>
    <w:p w14:paraId="76A1D8C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p>
    <w:p w14:paraId="7485691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jc w:val="left"/>
        <w:textAlignment w:val="auto"/>
        <w:rPr>
          <w:rFonts w:hint="eastAsia" w:ascii="仿宋_GB2312" w:hAnsi="仿宋_GB2312" w:eastAsia="仿宋_GB2312" w:cs="仿宋_GB2312"/>
          <w:kern w:val="2"/>
          <w:sz w:val="32"/>
          <w:szCs w:val="32"/>
          <w:lang w:val="zh-CN" w:eastAsia="zh-CN" w:bidi="ar-SA"/>
        </w:rPr>
      </w:pPr>
    </w:p>
    <w:p w14:paraId="495FAB7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zh-CN" w:eastAsia="zh-CN" w:bidi="ar-SA"/>
        </w:rPr>
      </w:pPr>
    </w:p>
    <w:p w14:paraId="10929A4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eastAsia="zh-CN"/>
        </w:rPr>
      </w:pPr>
    </w:p>
    <w:p w14:paraId="63BDB30E">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仿宋_GB2312" w:hAnsi="仿宋_GB2312" w:eastAsia="仿宋_GB2312" w:cs="仿宋_GB2312"/>
          <w:color w:val="auto"/>
          <w:sz w:val="32"/>
          <w:szCs w:val="32"/>
          <w:lang w:val="en-US" w:eastAsia="zh-CN"/>
        </w:rPr>
      </w:pPr>
    </w:p>
    <w:sectPr>
      <w:footerReference r:id="rId4" w:type="default"/>
      <w:pgSz w:w="11906" w:h="16838"/>
      <w:pgMar w:top="2098" w:right="1474" w:bottom="1984" w:left="1587" w:header="851" w:footer="992" w:gutter="0"/>
      <w:pgNumType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7B9C9">
    <w:pPr>
      <w:pStyle w:val="6"/>
    </w:pPr>
    <w:r>
      <mc:AlternateContent>
        <mc:Choice Requires="wps">
          <w:drawing>
            <wp:anchor distT="0" distB="0" distL="114300" distR="114300" simplePos="0" relativeHeight="251660288" behindDoc="0" locked="0" layoutInCell="1" allowOverlap="1">
              <wp:simplePos x="0" y="0"/>
              <wp:positionH relativeFrom="margin">
                <wp:posOffset>2562225</wp:posOffset>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D5E01D">
                          <w:pPr>
                            <w:pStyle w:val="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01.75pt;margin-top:0pt;height:144pt;width:144pt;mso-position-horizontal-relative:margin;mso-wrap-style:none;z-index:251660288;mso-width-relative:page;mso-height-relative:page;" filled="f" stroked="f" coordsize="21600,21600" o:gfxdata="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o5OS99UAAAAIAQAADwAAAAAAAAABACAAAAAiAAAAZHJzL2Rvd25yZXYueG1sUEsBAhQAFAAA&#10;AAgAh07iQAVhjD8rAgAAVQQAAA4AAAAAAAAAAQAgAAAAJAEAAGRycy9lMm9Eb2MueG1sUEsFBgAA&#10;AAAGAAYAWQEAAMEFAAAAAA==&#10;">
              <v:fill on="f" focussize="0,0"/>
              <v:stroke on="f" weight="0.5pt"/>
              <v:imagedata o:title=""/>
              <o:lock v:ext="edit" aspectratio="f"/>
              <v:textbox inset="0mm,0mm,0mm,0mm" style="mso-fit-shape-to-text:t;">
                <w:txbxContent>
                  <w:p w14:paraId="6CD5E01D">
                    <w:pPr>
                      <w:pStyle w:val="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8EF2F">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3B33A2"/>
    <w:multiLevelType w:val="multilevel"/>
    <w:tmpl w:val="363B33A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7068D5B1"/>
    <w:multiLevelType w:val="singleLevel"/>
    <w:tmpl w:val="7068D5B1"/>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1NGZmYjAwODdlNzk5YTE2ZDZlZDgxNWM4OGVlZmQifQ=="/>
  </w:docVars>
  <w:rsids>
    <w:rsidRoot w:val="00C63BE6"/>
    <w:rsid w:val="00004DEB"/>
    <w:rsid w:val="002153DD"/>
    <w:rsid w:val="00252FE3"/>
    <w:rsid w:val="002C0A82"/>
    <w:rsid w:val="00383A8E"/>
    <w:rsid w:val="004742E7"/>
    <w:rsid w:val="00474E39"/>
    <w:rsid w:val="00572FAE"/>
    <w:rsid w:val="00577133"/>
    <w:rsid w:val="006C1B7C"/>
    <w:rsid w:val="00884742"/>
    <w:rsid w:val="008B0155"/>
    <w:rsid w:val="00957CA6"/>
    <w:rsid w:val="00987770"/>
    <w:rsid w:val="00B0511C"/>
    <w:rsid w:val="00C63BE6"/>
    <w:rsid w:val="00C63E79"/>
    <w:rsid w:val="00C7227E"/>
    <w:rsid w:val="00D020F6"/>
    <w:rsid w:val="00E7604E"/>
    <w:rsid w:val="00F56AD1"/>
    <w:rsid w:val="011F2617"/>
    <w:rsid w:val="020815C2"/>
    <w:rsid w:val="02867E41"/>
    <w:rsid w:val="03031491"/>
    <w:rsid w:val="03031E75"/>
    <w:rsid w:val="0383205A"/>
    <w:rsid w:val="044B0EB6"/>
    <w:rsid w:val="04952178"/>
    <w:rsid w:val="04B27882"/>
    <w:rsid w:val="04D875D4"/>
    <w:rsid w:val="05085485"/>
    <w:rsid w:val="05412745"/>
    <w:rsid w:val="061C31D4"/>
    <w:rsid w:val="06514C09"/>
    <w:rsid w:val="066A71E2"/>
    <w:rsid w:val="07185E70"/>
    <w:rsid w:val="074D4B8A"/>
    <w:rsid w:val="0768146A"/>
    <w:rsid w:val="0771104F"/>
    <w:rsid w:val="08154EC9"/>
    <w:rsid w:val="084B186C"/>
    <w:rsid w:val="08BA6325"/>
    <w:rsid w:val="08E815B7"/>
    <w:rsid w:val="09FE6E56"/>
    <w:rsid w:val="0A2D5046"/>
    <w:rsid w:val="0AB73794"/>
    <w:rsid w:val="0AFC58C1"/>
    <w:rsid w:val="0B57540A"/>
    <w:rsid w:val="0B7D0400"/>
    <w:rsid w:val="0BE32EEA"/>
    <w:rsid w:val="0C0F66CB"/>
    <w:rsid w:val="0D6F3E27"/>
    <w:rsid w:val="0D987650"/>
    <w:rsid w:val="0DB74FFE"/>
    <w:rsid w:val="0DCE6B40"/>
    <w:rsid w:val="0E1A44DD"/>
    <w:rsid w:val="0F42154E"/>
    <w:rsid w:val="0F5371D2"/>
    <w:rsid w:val="102918FB"/>
    <w:rsid w:val="105B6F8A"/>
    <w:rsid w:val="10D127C3"/>
    <w:rsid w:val="10D51477"/>
    <w:rsid w:val="1182211B"/>
    <w:rsid w:val="11AA1E77"/>
    <w:rsid w:val="11B22AD8"/>
    <w:rsid w:val="11EF075E"/>
    <w:rsid w:val="13A062E5"/>
    <w:rsid w:val="13D754E4"/>
    <w:rsid w:val="13EE7465"/>
    <w:rsid w:val="14323D3C"/>
    <w:rsid w:val="14712E9C"/>
    <w:rsid w:val="147C11CB"/>
    <w:rsid w:val="149914ED"/>
    <w:rsid w:val="14B65547"/>
    <w:rsid w:val="14EC1212"/>
    <w:rsid w:val="15742594"/>
    <w:rsid w:val="15A144A6"/>
    <w:rsid w:val="15C46400"/>
    <w:rsid w:val="15F372C8"/>
    <w:rsid w:val="169B0AD0"/>
    <w:rsid w:val="172E76A1"/>
    <w:rsid w:val="182B1DF7"/>
    <w:rsid w:val="188B7ABB"/>
    <w:rsid w:val="192C390A"/>
    <w:rsid w:val="1A8C6258"/>
    <w:rsid w:val="1ACF03B6"/>
    <w:rsid w:val="1B2E4481"/>
    <w:rsid w:val="1C08690F"/>
    <w:rsid w:val="1C6D40EC"/>
    <w:rsid w:val="1C9110EF"/>
    <w:rsid w:val="1CF5235C"/>
    <w:rsid w:val="1D7C771A"/>
    <w:rsid w:val="1DD2622D"/>
    <w:rsid w:val="1DED413E"/>
    <w:rsid w:val="1DEF6857"/>
    <w:rsid w:val="1DF4479B"/>
    <w:rsid w:val="1E107D12"/>
    <w:rsid w:val="1E8963F2"/>
    <w:rsid w:val="1EA00A73"/>
    <w:rsid w:val="1F1E30AE"/>
    <w:rsid w:val="1F8D7FA0"/>
    <w:rsid w:val="207D4518"/>
    <w:rsid w:val="20A24A6A"/>
    <w:rsid w:val="20B52C97"/>
    <w:rsid w:val="21416293"/>
    <w:rsid w:val="2223559A"/>
    <w:rsid w:val="24727DCD"/>
    <w:rsid w:val="24FE7EC9"/>
    <w:rsid w:val="25BE6B0C"/>
    <w:rsid w:val="26F55D4A"/>
    <w:rsid w:val="27A52CD3"/>
    <w:rsid w:val="281871D9"/>
    <w:rsid w:val="28DC5964"/>
    <w:rsid w:val="29653B65"/>
    <w:rsid w:val="29E740EA"/>
    <w:rsid w:val="2A667EDB"/>
    <w:rsid w:val="2C092571"/>
    <w:rsid w:val="2C2D7201"/>
    <w:rsid w:val="2C390BAE"/>
    <w:rsid w:val="2CAA1BC5"/>
    <w:rsid w:val="2E1063E3"/>
    <w:rsid w:val="2ECC5FDD"/>
    <w:rsid w:val="2F327E33"/>
    <w:rsid w:val="2FC306DF"/>
    <w:rsid w:val="30072CE3"/>
    <w:rsid w:val="30977951"/>
    <w:rsid w:val="31D4507B"/>
    <w:rsid w:val="31E87A7F"/>
    <w:rsid w:val="32282052"/>
    <w:rsid w:val="32C37A45"/>
    <w:rsid w:val="335C246D"/>
    <w:rsid w:val="33B414CA"/>
    <w:rsid w:val="33EF4EEF"/>
    <w:rsid w:val="361A2595"/>
    <w:rsid w:val="37D05DAA"/>
    <w:rsid w:val="3829475E"/>
    <w:rsid w:val="384D372D"/>
    <w:rsid w:val="398057DC"/>
    <w:rsid w:val="3B1D5F20"/>
    <w:rsid w:val="3EAD3546"/>
    <w:rsid w:val="3F0607D0"/>
    <w:rsid w:val="406F7B96"/>
    <w:rsid w:val="41731A9F"/>
    <w:rsid w:val="41E77BF5"/>
    <w:rsid w:val="43104F29"/>
    <w:rsid w:val="46824B9B"/>
    <w:rsid w:val="468B6F9A"/>
    <w:rsid w:val="47372A84"/>
    <w:rsid w:val="47486945"/>
    <w:rsid w:val="47A520E4"/>
    <w:rsid w:val="47B41FB4"/>
    <w:rsid w:val="47E615CC"/>
    <w:rsid w:val="480224E2"/>
    <w:rsid w:val="4840005F"/>
    <w:rsid w:val="48B1627F"/>
    <w:rsid w:val="4B4606FF"/>
    <w:rsid w:val="4BC13280"/>
    <w:rsid w:val="4C344056"/>
    <w:rsid w:val="4CAB12ED"/>
    <w:rsid w:val="4D673998"/>
    <w:rsid w:val="4E7B0C6B"/>
    <w:rsid w:val="4F254F06"/>
    <w:rsid w:val="513444D8"/>
    <w:rsid w:val="51700605"/>
    <w:rsid w:val="51B32451"/>
    <w:rsid w:val="51BE2FD9"/>
    <w:rsid w:val="52E6027B"/>
    <w:rsid w:val="52F118A1"/>
    <w:rsid w:val="53185E60"/>
    <w:rsid w:val="538D0FE8"/>
    <w:rsid w:val="53C12487"/>
    <w:rsid w:val="54381450"/>
    <w:rsid w:val="543A5854"/>
    <w:rsid w:val="563C256E"/>
    <w:rsid w:val="563F548B"/>
    <w:rsid w:val="56B7346D"/>
    <w:rsid w:val="56D51C6F"/>
    <w:rsid w:val="56F35646"/>
    <w:rsid w:val="579B7B05"/>
    <w:rsid w:val="5894024B"/>
    <w:rsid w:val="58AD09C1"/>
    <w:rsid w:val="59125CC4"/>
    <w:rsid w:val="597D41A4"/>
    <w:rsid w:val="59B6770B"/>
    <w:rsid w:val="59E628AC"/>
    <w:rsid w:val="5AC142A1"/>
    <w:rsid w:val="5B0F2DB8"/>
    <w:rsid w:val="5B394BC5"/>
    <w:rsid w:val="5B9A70B8"/>
    <w:rsid w:val="5D2F7CA9"/>
    <w:rsid w:val="5D557A6A"/>
    <w:rsid w:val="5D9425F4"/>
    <w:rsid w:val="5DC66D89"/>
    <w:rsid w:val="5DF64B06"/>
    <w:rsid w:val="5F1C5A6D"/>
    <w:rsid w:val="5F4E6332"/>
    <w:rsid w:val="60487659"/>
    <w:rsid w:val="606721D5"/>
    <w:rsid w:val="613C5AF4"/>
    <w:rsid w:val="6174313E"/>
    <w:rsid w:val="629E6958"/>
    <w:rsid w:val="63391A64"/>
    <w:rsid w:val="63482C0B"/>
    <w:rsid w:val="63B94086"/>
    <w:rsid w:val="63C34609"/>
    <w:rsid w:val="64853567"/>
    <w:rsid w:val="652F0DE7"/>
    <w:rsid w:val="65B559AE"/>
    <w:rsid w:val="66CE62C4"/>
    <w:rsid w:val="67122238"/>
    <w:rsid w:val="68141390"/>
    <w:rsid w:val="68342E40"/>
    <w:rsid w:val="685E4A1D"/>
    <w:rsid w:val="6A216CB1"/>
    <w:rsid w:val="6A6D6E40"/>
    <w:rsid w:val="6A88226F"/>
    <w:rsid w:val="6B1228A9"/>
    <w:rsid w:val="6BA96764"/>
    <w:rsid w:val="6BE325AB"/>
    <w:rsid w:val="6CD858B4"/>
    <w:rsid w:val="6CF54F38"/>
    <w:rsid w:val="6D8B788B"/>
    <w:rsid w:val="6E064F04"/>
    <w:rsid w:val="6E6164B5"/>
    <w:rsid w:val="6F060E0B"/>
    <w:rsid w:val="6FE73226"/>
    <w:rsid w:val="706B7E42"/>
    <w:rsid w:val="70A92E7E"/>
    <w:rsid w:val="71AD7C63"/>
    <w:rsid w:val="724A3704"/>
    <w:rsid w:val="72C36473"/>
    <w:rsid w:val="72DD1E82"/>
    <w:rsid w:val="72F87F30"/>
    <w:rsid w:val="74EA0887"/>
    <w:rsid w:val="75197AE2"/>
    <w:rsid w:val="75A60C51"/>
    <w:rsid w:val="765B0C8B"/>
    <w:rsid w:val="769F50C1"/>
    <w:rsid w:val="776E31BF"/>
    <w:rsid w:val="77891EF1"/>
    <w:rsid w:val="77C93E9D"/>
    <w:rsid w:val="77FD75A4"/>
    <w:rsid w:val="7918401D"/>
    <w:rsid w:val="79DA25CC"/>
    <w:rsid w:val="79F51639"/>
    <w:rsid w:val="79FC7CC7"/>
    <w:rsid w:val="7A2C78CF"/>
    <w:rsid w:val="7A6C349F"/>
    <w:rsid w:val="7B317B0D"/>
    <w:rsid w:val="7BE031B8"/>
    <w:rsid w:val="7C6B2567"/>
    <w:rsid w:val="7D637428"/>
    <w:rsid w:val="7E261B78"/>
    <w:rsid w:val="7EA561DB"/>
    <w:rsid w:val="7F535DD8"/>
    <w:rsid w:val="7F894F56"/>
    <w:rsid w:val="7FA327D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link w:val="16"/>
    <w:autoRedefine/>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next w:val="1"/>
    <w:autoRedefine/>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4">
    <w:name w:val="Date"/>
    <w:basedOn w:val="1"/>
    <w:next w:val="1"/>
    <w:link w:val="18"/>
    <w:autoRedefine/>
    <w:semiHidden/>
    <w:unhideWhenUsed/>
    <w:qFormat/>
    <w:uiPriority w:val="99"/>
    <w:pPr>
      <w:ind w:left="100" w:leftChars="2500"/>
    </w:pPr>
  </w:style>
  <w:style w:type="paragraph" w:styleId="5">
    <w:name w:val="Balloon Text"/>
    <w:basedOn w:val="1"/>
    <w:link w:val="17"/>
    <w:autoRedefine/>
    <w:qFormat/>
    <w:uiPriority w:val="99"/>
    <w:rPr>
      <w:sz w:val="18"/>
      <w:szCs w:val="18"/>
    </w:rPr>
  </w:style>
  <w:style w:type="paragraph" w:styleId="6">
    <w:name w:val="footer"/>
    <w:basedOn w:val="1"/>
    <w:link w:val="14"/>
    <w:autoRedefine/>
    <w:qFormat/>
    <w:uiPriority w:val="99"/>
    <w:pPr>
      <w:tabs>
        <w:tab w:val="center" w:pos="4153"/>
        <w:tab w:val="right" w:pos="8306"/>
      </w:tabs>
      <w:snapToGrid w:val="0"/>
      <w:jc w:val="left"/>
    </w:pPr>
    <w:rPr>
      <w:sz w:val="18"/>
      <w:szCs w:val="18"/>
    </w:rPr>
  </w:style>
  <w:style w:type="paragraph" w:styleId="7">
    <w:name w:val="header"/>
    <w:basedOn w:val="1"/>
    <w:link w:val="13"/>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qFormat/>
    <w:uiPriority w:val="99"/>
    <w:pPr>
      <w:widowControl/>
      <w:spacing w:before="100" w:beforeAutospacing="1" w:after="100" w:afterAutospacing="1"/>
      <w:jc w:val="left"/>
    </w:pPr>
    <w:rPr>
      <w:rFonts w:ascii="宋体" w:hAnsi="宋体"/>
      <w:kern w:val="0"/>
      <w:sz w:val="24"/>
      <w:szCs w:val="24"/>
    </w:rPr>
  </w:style>
  <w:style w:type="character" w:styleId="11">
    <w:name w:val="Strong"/>
    <w:basedOn w:val="10"/>
    <w:autoRedefine/>
    <w:qFormat/>
    <w:uiPriority w:val="22"/>
    <w:rPr>
      <w:b/>
      <w:bCs/>
    </w:rPr>
  </w:style>
  <w:style w:type="character" w:styleId="12">
    <w:name w:val="Hyperlink"/>
    <w:basedOn w:val="10"/>
    <w:autoRedefine/>
    <w:qFormat/>
    <w:uiPriority w:val="99"/>
    <w:rPr>
      <w:color w:val="0000FF"/>
      <w:u w:val="single"/>
    </w:rPr>
  </w:style>
  <w:style w:type="character" w:customStyle="1" w:styleId="13">
    <w:name w:val="页眉 Char"/>
    <w:basedOn w:val="10"/>
    <w:link w:val="7"/>
    <w:autoRedefine/>
    <w:qFormat/>
    <w:uiPriority w:val="99"/>
    <w:rPr>
      <w:sz w:val="18"/>
      <w:szCs w:val="18"/>
    </w:rPr>
  </w:style>
  <w:style w:type="character" w:customStyle="1" w:styleId="14">
    <w:name w:val="页脚 Char"/>
    <w:basedOn w:val="10"/>
    <w:link w:val="6"/>
    <w:autoRedefine/>
    <w:qFormat/>
    <w:uiPriority w:val="99"/>
    <w:rPr>
      <w:sz w:val="18"/>
      <w:szCs w:val="18"/>
    </w:rPr>
  </w:style>
  <w:style w:type="paragraph" w:styleId="15">
    <w:name w:val="List Paragraph"/>
    <w:basedOn w:val="1"/>
    <w:autoRedefine/>
    <w:qFormat/>
    <w:uiPriority w:val="34"/>
    <w:pPr>
      <w:ind w:firstLine="420" w:firstLineChars="200"/>
    </w:pPr>
  </w:style>
  <w:style w:type="character" w:customStyle="1" w:styleId="16">
    <w:name w:val="标题 1 Char"/>
    <w:basedOn w:val="10"/>
    <w:link w:val="2"/>
    <w:autoRedefine/>
    <w:qFormat/>
    <w:uiPriority w:val="9"/>
    <w:rPr>
      <w:rFonts w:ascii="宋体" w:hAnsi="宋体" w:eastAsia="宋体" w:cs="宋体"/>
      <w:b/>
      <w:bCs/>
      <w:kern w:val="36"/>
      <w:sz w:val="48"/>
      <w:szCs w:val="48"/>
    </w:rPr>
  </w:style>
  <w:style w:type="character" w:customStyle="1" w:styleId="17">
    <w:name w:val="批注框文本 Char"/>
    <w:basedOn w:val="10"/>
    <w:link w:val="5"/>
    <w:autoRedefine/>
    <w:qFormat/>
    <w:uiPriority w:val="99"/>
    <w:rPr>
      <w:kern w:val="2"/>
      <w:sz w:val="18"/>
      <w:szCs w:val="18"/>
    </w:rPr>
  </w:style>
  <w:style w:type="character" w:customStyle="1" w:styleId="18">
    <w:name w:val="日期 Char"/>
    <w:basedOn w:val="10"/>
    <w:link w:val="4"/>
    <w:autoRedefine/>
    <w:semiHidden/>
    <w:qFormat/>
    <w:uiPriority w:val="99"/>
    <w:rPr>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23</Pages>
  <Words>6456</Words>
  <Characters>6636</Characters>
  <Lines>83</Lines>
  <Paragraphs>23</Paragraphs>
  <TotalTime>2</TotalTime>
  <ScaleCrop>false</ScaleCrop>
  <LinksUpToDate>false</LinksUpToDate>
  <CharactersWithSpaces>6672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2021-03-31T01:32:00Z</dcterms:created>
  <dc:creator>lenovo</dc:creator>
  <cp:lastModifiedBy>空白</cp:lastModifiedBy>
  <dcterms:modified xsi:type="dcterms:W3CDTF">2026-10-10T16:16:08Z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22BD0D87A3D94DFD80E92014589A59E1_13</vt:lpwstr>
  </property>
  <property fmtid="{D5CDD505-2E9C-101B-9397-08002B2CF9AE}" pid="4" name="KSOTemplateDocerSaveRecord">
    <vt:lpwstr>eyJoZGlkIjoiODI0MWYwYTYzMGQ5OGUzODgzOWE3MTY3MDI0OGI4OWYiLCJ1c2VySWQiOiIyNDQ4ODg5NDUifQ==</vt:lpwstr>
  </property>
</Properties>
</file>